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D336A" w14:textId="77777777" w:rsidR="00354CBA" w:rsidRPr="00901027" w:rsidRDefault="00901027" w:rsidP="00901027">
      <w:pPr>
        <w:pStyle w:val="Textkrper"/>
        <w:outlineLvl w:val="0"/>
        <w:rPr>
          <w:b w:val="0"/>
          <w:noProof/>
          <w:sz w:val="24"/>
          <w:u w:val="none"/>
        </w:rPr>
      </w:pPr>
      <w:r w:rsidRPr="00901027">
        <w:rPr>
          <w:b w:val="0"/>
          <w:noProof/>
          <w:sz w:val="24"/>
          <w:u w:val="none"/>
        </w:rPr>
        <w:t>Pressemitteilung</w:t>
      </w:r>
    </w:p>
    <w:p w14:paraId="00CA4261" w14:textId="77777777" w:rsidR="006233AC" w:rsidRDefault="006233AC" w:rsidP="00FB6FE5">
      <w:pPr>
        <w:pStyle w:val="Textkrper"/>
        <w:jc w:val="center"/>
        <w:outlineLvl w:val="0"/>
        <w:rPr>
          <w:noProof/>
        </w:rPr>
      </w:pPr>
    </w:p>
    <w:p w14:paraId="6A6137B0" w14:textId="4B39CDE5" w:rsidR="00354CBA" w:rsidRPr="008C4BC3" w:rsidRDefault="003B5557" w:rsidP="001D0FFA">
      <w:pPr>
        <w:pStyle w:val="Textkrper"/>
        <w:spacing w:line="360" w:lineRule="auto"/>
        <w:outlineLvl w:val="0"/>
        <w:rPr>
          <w:noProof/>
          <w:sz w:val="24"/>
        </w:rPr>
      </w:pPr>
      <w:r w:rsidRPr="008C4BC3">
        <w:rPr>
          <w:noProof/>
          <w:sz w:val="24"/>
        </w:rPr>
        <w:t>Deuts</w:t>
      </w:r>
      <w:r w:rsidR="000B7AF4" w:rsidRPr="008C4BC3">
        <w:rPr>
          <w:noProof/>
          <w:sz w:val="24"/>
        </w:rPr>
        <w:t>che</w:t>
      </w:r>
      <w:r w:rsidR="00DF32D8" w:rsidRPr="008C4BC3">
        <w:rPr>
          <w:noProof/>
          <w:sz w:val="24"/>
        </w:rPr>
        <w:t xml:space="preserve"> </w:t>
      </w:r>
      <w:r w:rsidR="00D92BE1" w:rsidRPr="008C4BC3">
        <w:rPr>
          <w:noProof/>
          <w:sz w:val="24"/>
        </w:rPr>
        <w:t>Bauelemente</w:t>
      </w:r>
      <w:r w:rsidR="00350DDE" w:rsidRPr="008C4BC3">
        <w:rPr>
          <w:noProof/>
          <w:sz w:val="24"/>
        </w:rPr>
        <w:t>-D</w:t>
      </w:r>
      <w:r w:rsidR="00D92BE1" w:rsidRPr="008C4BC3">
        <w:rPr>
          <w:noProof/>
          <w:sz w:val="24"/>
        </w:rPr>
        <w:t>istribution</w:t>
      </w:r>
      <w:r w:rsidR="006361C3" w:rsidRPr="008C4BC3">
        <w:rPr>
          <w:noProof/>
          <w:sz w:val="24"/>
        </w:rPr>
        <w:t xml:space="preserve"> </w:t>
      </w:r>
      <w:r w:rsidR="00975B73" w:rsidRPr="008C4BC3">
        <w:rPr>
          <w:noProof/>
          <w:sz w:val="24"/>
        </w:rPr>
        <w:t>in</w:t>
      </w:r>
      <w:r w:rsidR="00443E31" w:rsidRPr="008C4BC3">
        <w:rPr>
          <w:noProof/>
          <w:sz w:val="24"/>
        </w:rPr>
        <w:t xml:space="preserve"> </w:t>
      </w:r>
      <w:r w:rsidR="008B27CA" w:rsidRPr="008C4BC3">
        <w:rPr>
          <w:noProof/>
          <w:sz w:val="24"/>
        </w:rPr>
        <w:t>Q1</w:t>
      </w:r>
      <w:r w:rsidR="00975B73" w:rsidRPr="008C4BC3">
        <w:rPr>
          <w:noProof/>
          <w:sz w:val="24"/>
        </w:rPr>
        <w:t>/</w:t>
      </w:r>
      <w:r w:rsidR="008B27CA" w:rsidRPr="008C4BC3">
        <w:rPr>
          <w:noProof/>
          <w:sz w:val="24"/>
        </w:rPr>
        <w:t>2025 –</w:t>
      </w:r>
      <w:r w:rsidR="00FC1B06" w:rsidRPr="008C4BC3">
        <w:rPr>
          <w:noProof/>
          <w:sz w:val="24"/>
        </w:rPr>
        <w:t xml:space="preserve"> </w:t>
      </w:r>
      <w:r w:rsidR="00D7224D" w:rsidRPr="008C4BC3">
        <w:rPr>
          <w:noProof/>
          <w:sz w:val="24"/>
        </w:rPr>
        <w:t xml:space="preserve">erwartungsgemäß </w:t>
      </w:r>
      <w:r w:rsidR="008B27CA" w:rsidRPr="008C4BC3">
        <w:rPr>
          <w:noProof/>
          <w:sz w:val="24"/>
        </w:rPr>
        <w:t xml:space="preserve">Talsohle </w:t>
      </w:r>
      <w:r w:rsidR="00B16719" w:rsidRPr="008C4BC3">
        <w:rPr>
          <w:noProof/>
          <w:sz w:val="24"/>
        </w:rPr>
        <w:t xml:space="preserve">erreicht </w:t>
      </w:r>
      <w:r w:rsidR="008B27CA" w:rsidRPr="008C4BC3">
        <w:rPr>
          <w:noProof/>
          <w:sz w:val="24"/>
        </w:rPr>
        <w:t>–</w:t>
      </w:r>
      <w:r w:rsidR="00B16719" w:rsidRPr="008C4BC3">
        <w:rPr>
          <w:noProof/>
          <w:sz w:val="24"/>
        </w:rPr>
        <w:t xml:space="preserve"> </w:t>
      </w:r>
      <w:r w:rsidR="00580986" w:rsidRPr="008C4BC3">
        <w:rPr>
          <w:noProof/>
          <w:sz w:val="24"/>
        </w:rPr>
        <w:t>und</w:t>
      </w:r>
      <w:r w:rsidR="00C00746" w:rsidRPr="008C4BC3">
        <w:rPr>
          <w:noProof/>
          <w:sz w:val="24"/>
        </w:rPr>
        <w:t xml:space="preserve"> nun</w:t>
      </w:r>
      <w:r w:rsidR="00B16719" w:rsidRPr="008C4BC3">
        <w:rPr>
          <w:noProof/>
          <w:sz w:val="24"/>
        </w:rPr>
        <w:t xml:space="preserve">? </w:t>
      </w:r>
      <w:r w:rsidR="00BE6C88" w:rsidRPr="008C4BC3">
        <w:rPr>
          <w:noProof/>
          <w:sz w:val="24"/>
        </w:rPr>
        <w:t xml:space="preserve">Gummi- </w:t>
      </w:r>
      <w:r w:rsidR="00B16719" w:rsidRPr="008C4BC3">
        <w:rPr>
          <w:noProof/>
          <w:sz w:val="24"/>
        </w:rPr>
        <w:t>oder Bergs</w:t>
      </w:r>
      <w:r w:rsidR="00BE6C88" w:rsidRPr="008C4BC3">
        <w:rPr>
          <w:noProof/>
          <w:sz w:val="24"/>
        </w:rPr>
        <w:t>tiefel</w:t>
      </w:r>
      <w:r w:rsidR="00B16719" w:rsidRPr="008C4BC3">
        <w:rPr>
          <w:noProof/>
          <w:sz w:val="24"/>
        </w:rPr>
        <w:t>?</w:t>
      </w:r>
    </w:p>
    <w:p w14:paraId="2EA23A79" w14:textId="77777777" w:rsidR="001350EE" w:rsidRPr="008C4BC3" w:rsidRDefault="001350EE" w:rsidP="001D0FFA">
      <w:pPr>
        <w:pStyle w:val="Textkrper"/>
        <w:spacing w:line="360" w:lineRule="auto"/>
        <w:jc w:val="both"/>
        <w:outlineLvl w:val="0"/>
        <w:rPr>
          <w:noProof/>
          <w:sz w:val="24"/>
        </w:rPr>
      </w:pPr>
    </w:p>
    <w:p w14:paraId="5EB6E305" w14:textId="0954EE7B" w:rsidR="008B27CA" w:rsidRDefault="0035113D" w:rsidP="001D0FFA">
      <w:pPr>
        <w:pStyle w:val="Textkrper2"/>
        <w:spacing w:line="360" w:lineRule="auto"/>
        <w:jc w:val="both"/>
        <w:rPr>
          <w:noProof/>
        </w:rPr>
      </w:pPr>
      <w:r>
        <w:rPr>
          <w:noProof/>
        </w:rPr>
        <w:t>Umsatz</w:t>
      </w:r>
      <w:r w:rsidR="006361C3">
        <w:rPr>
          <w:noProof/>
        </w:rPr>
        <w:t xml:space="preserve"> der </w:t>
      </w:r>
      <w:r w:rsidR="005D45FD">
        <w:rPr>
          <w:noProof/>
        </w:rPr>
        <w:t>Elektronik-</w:t>
      </w:r>
      <w:r w:rsidR="006361C3">
        <w:rPr>
          <w:noProof/>
        </w:rPr>
        <w:t>Bauelemente</w:t>
      </w:r>
      <w:r w:rsidR="000C68F9">
        <w:rPr>
          <w:noProof/>
        </w:rPr>
        <w:t>-D</w:t>
      </w:r>
      <w:r w:rsidR="005D45FD">
        <w:rPr>
          <w:noProof/>
        </w:rPr>
        <w:t>istribution</w:t>
      </w:r>
      <w:r w:rsidR="006361C3">
        <w:rPr>
          <w:noProof/>
        </w:rPr>
        <w:t xml:space="preserve"> </w:t>
      </w:r>
      <w:r w:rsidR="005D45FD">
        <w:rPr>
          <w:noProof/>
        </w:rPr>
        <w:t xml:space="preserve">(gemäß FBDi e.V.) </w:t>
      </w:r>
      <w:r w:rsidR="006361C3">
        <w:rPr>
          <w:noProof/>
        </w:rPr>
        <w:t>g</w:t>
      </w:r>
      <w:r w:rsidR="00CE5C4C">
        <w:rPr>
          <w:noProof/>
        </w:rPr>
        <w:t>ing</w:t>
      </w:r>
      <w:r w:rsidR="006361C3">
        <w:rPr>
          <w:noProof/>
        </w:rPr>
        <w:t xml:space="preserve"> </w:t>
      </w:r>
      <w:r w:rsidR="00774FDC">
        <w:rPr>
          <w:noProof/>
        </w:rPr>
        <w:t xml:space="preserve">im </w:t>
      </w:r>
      <w:r w:rsidR="008B27CA">
        <w:rPr>
          <w:noProof/>
        </w:rPr>
        <w:t xml:space="preserve">ersten </w:t>
      </w:r>
      <w:r w:rsidR="00CF0A11">
        <w:rPr>
          <w:noProof/>
        </w:rPr>
        <w:t>Quart</w:t>
      </w:r>
      <w:r w:rsidR="00774FDC">
        <w:rPr>
          <w:noProof/>
        </w:rPr>
        <w:t>al 202</w:t>
      </w:r>
      <w:r w:rsidR="008B27CA">
        <w:rPr>
          <w:noProof/>
        </w:rPr>
        <w:t xml:space="preserve">5 </w:t>
      </w:r>
      <w:r w:rsidR="00C00746">
        <w:rPr>
          <w:noProof/>
        </w:rPr>
        <w:t>um beina</w:t>
      </w:r>
      <w:r w:rsidR="00D7224D">
        <w:rPr>
          <w:noProof/>
        </w:rPr>
        <w:t>h</w:t>
      </w:r>
      <w:r w:rsidR="00C00746">
        <w:rPr>
          <w:noProof/>
        </w:rPr>
        <w:t>e 25% zum Vor</w:t>
      </w:r>
      <w:r w:rsidR="00272EE4">
        <w:rPr>
          <w:noProof/>
        </w:rPr>
        <w:t>jahresquartal</w:t>
      </w:r>
      <w:r w:rsidR="00041E8B">
        <w:rPr>
          <w:noProof/>
        </w:rPr>
        <w:t xml:space="preserve"> zurück</w:t>
      </w:r>
      <w:r w:rsidR="00272EE4">
        <w:rPr>
          <w:noProof/>
        </w:rPr>
        <w:t xml:space="preserve">. </w:t>
      </w:r>
    </w:p>
    <w:p w14:paraId="20AA099A" w14:textId="1BA8B8C8" w:rsidR="0065558F" w:rsidRDefault="00313857" w:rsidP="001D0FFA">
      <w:pPr>
        <w:pStyle w:val="Textkrper2"/>
        <w:spacing w:line="360" w:lineRule="auto"/>
        <w:jc w:val="both"/>
        <w:rPr>
          <w:noProof/>
        </w:rPr>
      </w:pPr>
      <w:r>
        <w:rPr>
          <w:noProof/>
        </w:rPr>
        <w:t xml:space="preserve">Auftragseingang </w:t>
      </w:r>
      <w:r w:rsidR="00CF0A11">
        <w:rPr>
          <w:noProof/>
        </w:rPr>
        <w:t xml:space="preserve">gibt </w:t>
      </w:r>
      <w:r w:rsidR="008B27CA">
        <w:rPr>
          <w:noProof/>
        </w:rPr>
        <w:t xml:space="preserve">leichte </w:t>
      </w:r>
      <w:r w:rsidR="00CF0A11">
        <w:rPr>
          <w:noProof/>
        </w:rPr>
        <w:t xml:space="preserve">Impulse. </w:t>
      </w:r>
      <w:r w:rsidR="006D5DD5">
        <w:rPr>
          <w:noProof/>
        </w:rPr>
        <w:t xml:space="preserve">Aussichten </w:t>
      </w:r>
      <w:r w:rsidR="00CF0A11">
        <w:rPr>
          <w:noProof/>
        </w:rPr>
        <w:t>bleiben bis Mitte 2025 verhalten.</w:t>
      </w:r>
    </w:p>
    <w:p w14:paraId="3530B17E" w14:textId="1DAADF9D" w:rsidR="00C17794" w:rsidRDefault="005B3B75" w:rsidP="00944330">
      <w:pPr>
        <w:pStyle w:val="Textkrper2"/>
        <w:spacing w:line="360" w:lineRule="auto"/>
        <w:rPr>
          <w:b w:val="0"/>
          <w:bCs w:val="0"/>
          <w:i/>
          <w:iCs/>
          <w:noProof/>
        </w:rPr>
      </w:pPr>
      <w:r w:rsidRPr="00B3635C">
        <w:rPr>
          <w:b w:val="0"/>
          <w:bCs w:val="0"/>
          <w:i/>
          <w:iCs/>
          <w:noProof/>
        </w:rPr>
        <w:t>Andreas Falke</w:t>
      </w:r>
      <w:r w:rsidR="00473E3D" w:rsidRPr="00B3635C">
        <w:rPr>
          <w:b w:val="0"/>
          <w:bCs w:val="0"/>
          <w:i/>
          <w:iCs/>
          <w:noProof/>
        </w:rPr>
        <w:t xml:space="preserve">: </w:t>
      </w:r>
      <w:r w:rsidR="00866332">
        <w:rPr>
          <w:b w:val="0"/>
          <w:bCs w:val="0"/>
          <w:i/>
          <w:iCs/>
          <w:noProof/>
        </w:rPr>
        <w:t>„</w:t>
      </w:r>
      <w:r w:rsidR="00B60228" w:rsidRPr="00272EE4">
        <w:rPr>
          <w:b w:val="0"/>
          <w:bCs w:val="0"/>
          <w:i/>
          <w:iCs/>
          <w:noProof/>
        </w:rPr>
        <w:t xml:space="preserve">Nach einem herausfordernden Jahr 2024 musste die Distribution </w:t>
      </w:r>
      <w:r w:rsidR="00272EE4">
        <w:rPr>
          <w:b w:val="0"/>
          <w:bCs w:val="0"/>
          <w:i/>
          <w:iCs/>
          <w:noProof/>
        </w:rPr>
        <w:t>in der D</w:t>
      </w:r>
      <w:r w:rsidR="00CF297E">
        <w:rPr>
          <w:b w:val="0"/>
          <w:bCs w:val="0"/>
          <w:i/>
          <w:iCs/>
          <w:noProof/>
        </w:rPr>
        <w:t xml:space="preserve">eutschland </w:t>
      </w:r>
      <w:r w:rsidR="00B60228" w:rsidRPr="00272EE4">
        <w:rPr>
          <w:b w:val="0"/>
          <w:bCs w:val="0"/>
          <w:i/>
          <w:iCs/>
          <w:noProof/>
        </w:rPr>
        <w:t xml:space="preserve">im ersten Quartal 2025 einen weiteren Rückgang verkraften. Während externe Faktoren über Aufschwung oder Stagnation entscheiden, gilt es für Unternehmen sich strategisch zu rüsten. Engpässe sind derzeit </w:t>
      </w:r>
      <w:r w:rsidR="00807B20">
        <w:rPr>
          <w:b w:val="0"/>
          <w:bCs w:val="0"/>
          <w:i/>
          <w:iCs/>
          <w:noProof/>
        </w:rPr>
        <w:t xml:space="preserve">nicht zu erwarten, auch wenn der Auftragseingang eine </w:t>
      </w:r>
      <w:r w:rsidR="00C6317E">
        <w:rPr>
          <w:b w:val="0"/>
          <w:bCs w:val="0"/>
          <w:i/>
          <w:iCs/>
          <w:noProof/>
        </w:rPr>
        <w:t xml:space="preserve">wieder auflebende </w:t>
      </w:r>
      <w:r w:rsidR="00807B20">
        <w:rPr>
          <w:b w:val="0"/>
          <w:bCs w:val="0"/>
          <w:i/>
          <w:iCs/>
          <w:noProof/>
        </w:rPr>
        <w:t xml:space="preserve">Nachfrage </w:t>
      </w:r>
      <w:r w:rsidR="00C6317E">
        <w:rPr>
          <w:b w:val="0"/>
          <w:bCs w:val="0"/>
          <w:i/>
          <w:iCs/>
          <w:noProof/>
        </w:rPr>
        <w:t>indiziert. D</w:t>
      </w:r>
      <w:r w:rsidR="00B60228" w:rsidRPr="00272EE4">
        <w:rPr>
          <w:b w:val="0"/>
          <w:bCs w:val="0"/>
          <w:i/>
          <w:iCs/>
          <w:noProof/>
        </w:rPr>
        <w:t xml:space="preserve">och angesichts geopolitischer Unsicherheiten wird der Schutz kritischer Lieferketten immer wichtiger – </w:t>
      </w:r>
      <w:r w:rsidR="00E15000">
        <w:rPr>
          <w:b w:val="0"/>
          <w:bCs w:val="0"/>
          <w:i/>
          <w:iCs/>
          <w:noProof/>
        </w:rPr>
        <w:t xml:space="preserve">dies gilt in besonderem Maße </w:t>
      </w:r>
      <w:r w:rsidR="00B60228" w:rsidRPr="00272EE4">
        <w:rPr>
          <w:b w:val="0"/>
          <w:bCs w:val="0"/>
          <w:i/>
          <w:iCs/>
          <w:noProof/>
        </w:rPr>
        <w:t xml:space="preserve">in der Elektronik, </w:t>
      </w:r>
      <w:r w:rsidR="00E15000">
        <w:rPr>
          <w:b w:val="0"/>
          <w:bCs w:val="0"/>
          <w:i/>
          <w:iCs/>
          <w:noProof/>
        </w:rPr>
        <w:t xml:space="preserve">in der </w:t>
      </w:r>
      <w:r w:rsidR="00B60228" w:rsidRPr="00272EE4">
        <w:rPr>
          <w:b w:val="0"/>
          <w:bCs w:val="0"/>
          <w:i/>
          <w:iCs/>
          <w:noProof/>
        </w:rPr>
        <w:t xml:space="preserve">einzelne Bauelemente </w:t>
      </w:r>
      <w:r w:rsidR="00E15000">
        <w:rPr>
          <w:b w:val="0"/>
          <w:bCs w:val="0"/>
          <w:i/>
          <w:iCs/>
          <w:noProof/>
        </w:rPr>
        <w:t>über Wohl und Wehe - sprich Produktion oder Lager</w:t>
      </w:r>
      <w:r w:rsidR="007477A0">
        <w:rPr>
          <w:b w:val="0"/>
          <w:bCs w:val="0"/>
          <w:i/>
          <w:iCs/>
          <w:noProof/>
        </w:rPr>
        <w:t xml:space="preserve"> - </w:t>
      </w:r>
      <w:r w:rsidR="00B60228" w:rsidRPr="00272EE4">
        <w:rPr>
          <w:b w:val="0"/>
          <w:bCs w:val="0"/>
          <w:i/>
          <w:iCs/>
          <w:noProof/>
        </w:rPr>
        <w:t>entscheiden.</w:t>
      </w:r>
      <w:r w:rsidR="00866332">
        <w:rPr>
          <w:b w:val="0"/>
          <w:bCs w:val="0"/>
          <w:i/>
          <w:iCs/>
          <w:noProof/>
        </w:rPr>
        <w:t>“</w:t>
      </w:r>
      <w:r w:rsidR="00B6264B">
        <w:rPr>
          <w:b w:val="0"/>
          <w:bCs w:val="0"/>
          <w:i/>
          <w:iCs/>
          <w:noProof/>
        </w:rPr>
        <w:t xml:space="preserve"> </w:t>
      </w:r>
    </w:p>
    <w:p w14:paraId="157957C0" w14:textId="3F5145E7" w:rsidR="002C6EA0" w:rsidRDefault="002C6EA0" w:rsidP="00866332">
      <w:pPr>
        <w:pStyle w:val="Textkrper2"/>
        <w:rPr>
          <w:b w:val="0"/>
          <w:bCs w:val="0"/>
          <w:i/>
          <w:iCs/>
          <w:noProof/>
        </w:rPr>
      </w:pPr>
    </w:p>
    <w:p w14:paraId="2BF38DC7" w14:textId="77777777" w:rsidR="00866332" w:rsidRPr="002C6EA0" w:rsidRDefault="00866332" w:rsidP="00866332">
      <w:pPr>
        <w:pStyle w:val="Textkrper2"/>
        <w:rPr>
          <w:b w:val="0"/>
          <w:bCs w:val="0"/>
          <w:i/>
          <w:iCs/>
          <w:noProof/>
        </w:rPr>
      </w:pPr>
    </w:p>
    <w:p w14:paraId="072EAEB7" w14:textId="15143BC6" w:rsidR="00D75B16" w:rsidRPr="00866332" w:rsidRDefault="00D75B16" w:rsidP="00866332">
      <w:pPr>
        <w:spacing w:line="360" w:lineRule="auto"/>
        <w:rPr>
          <w:noProof/>
          <w:sz w:val="22"/>
          <w:szCs w:val="22"/>
          <w:lang w:val="de-DE"/>
        </w:rPr>
      </w:pPr>
      <w:r w:rsidRPr="00866332">
        <w:rPr>
          <w:b/>
          <w:bCs/>
          <w:noProof/>
          <w:sz w:val="22"/>
          <w:szCs w:val="22"/>
          <w:lang w:val="de-DE"/>
        </w:rPr>
        <w:t>Berlin, 20. Mai 2025</w:t>
      </w:r>
      <w:r w:rsidRPr="00866332">
        <w:rPr>
          <w:noProof/>
          <w:sz w:val="22"/>
          <w:szCs w:val="22"/>
          <w:lang w:val="de-DE"/>
        </w:rPr>
        <w:t xml:space="preserve"> – Das erste Quartal 2025 blieb mit einem Rückgang von fast 25 % deutlich hinter dem Vorjahresquartal zurück. Die </w:t>
      </w:r>
      <w:r w:rsidR="0041718A" w:rsidRPr="00866332">
        <w:rPr>
          <w:noProof/>
          <w:sz w:val="22"/>
          <w:szCs w:val="22"/>
          <w:lang w:val="de-DE"/>
        </w:rPr>
        <w:t xml:space="preserve">meldenden </w:t>
      </w:r>
      <w:r w:rsidRPr="00866332">
        <w:rPr>
          <w:noProof/>
          <w:sz w:val="22"/>
          <w:szCs w:val="22"/>
          <w:lang w:val="de-DE"/>
        </w:rPr>
        <w:t>Mitglieder des FBDi verzeichneten mit 814 Millionen Euro den niedrigsten Umsatz für ein erstes Quartal seit 2021.</w:t>
      </w:r>
      <w:r w:rsidR="00DB6140">
        <w:rPr>
          <w:noProof/>
          <w:sz w:val="22"/>
          <w:szCs w:val="22"/>
          <w:lang w:val="de-DE"/>
        </w:rPr>
        <w:t xml:space="preserve"> </w:t>
      </w:r>
      <w:r w:rsidR="003D521F" w:rsidRPr="00866332">
        <w:rPr>
          <w:noProof/>
          <w:sz w:val="22"/>
          <w:szCs w:val="22"/>
          <w:lang w:val="de-DE"/>
        </w:rPr>
        <w:t xml:space="preserve">Dabei haben die Halbleiter erneut die größten Verluste hinnehmen müssen und verloren 30,5% des Vorjahresumsatzes und enden bei 492 Milllionen Euro. </w:t>
      </w:r>
      <w:r w:rsidR="00866332">
        <w:rPr>
          <w:noProof/>
          <w:sz w:val="22"/>
          <w:szCs w:val="22"/>
          <w:lang w:val="de-DE"/>
        </w:rPr>
        <w:t xml:space="preserve">Passive, Elektromechanik und Power Supply </w:t>
      </w:r>
      <w:r w:rsidRPr="00866332">
        <w:rPr>
          <w:noProof/>
          <w:sz w:val="22"/>
          <w:szCs w:val="22"/>
          <w:lang w:val="de-DE"/>
        </w:rPr>
        <w:t>zeigte</w:t>
      </w:r>
      <w:r w:rsidR="00654DB4" w:rsidRPr="00866332">
        <w:rPr>
          <w:noProof/>
          <w:sz w:val="22"/>
          <w:szCs w:val="22"/>
          <w:lang w:val="de-DE"/>
        </w:rPr>
        <w:t>n</w:t>
      </w:r>
      <w:r w:rsidRPr="00866332">
        <w:rPr>
          <w:noProof/>
          <w:sz w:val="22"/>
          <w:szCs w:val="22"/>
          <w:lang w:val="de-DE"/>
        </w:rPr>
        <w:t xml:space="preserve"> sich</w:t>
      </w:r>
      <w:r w:rsidR="00DD2FAC" w:rsidRPr="00866332">
        <w:rPr>
          <w:noProof/>
          <w:sz w:val="22"/>
          <w:szCs w:val="22"/>
          <w:lang w:val="de-DE"/>
        </w:rPr>
        <w:t xml:space="preserve"> </w:t>
      </w:r>
      <w:r w:rsidRPr="00866332">
        <w:rPr>
          <w:noProof/>
          <w:sz w:val="22"/>
          <w:szCs w:val="22"/>
          <w:lang w:val="de-DE"/>
        </w:rPr>
        <w:t>stabiler und verzeichnete</w:t>
      </w:r>
      <w:r w:rsidR="00654DB4" w:rsidRPr="00866332">
        <w:rPr>
          <w:noProof/>
          <w:sz w:val="22"/>
          <w:szCs w:val="22"/>
          <w:lang w:val="de-DE"/>
        </w:rPr>
        <w:t>n</w:t>
      </w:r>
      <w:r w:rsidRPr="00866332">
        <w:rPr>
          <w:noProof/>
          <w:sz w:val="22"/>
          <w:szCs w:val="22"/>
          <w:lang w:val="de-DE"/>
        </w:rPr>
        <w:t xml:space="preserve"> einen Rückgang von 16,7%, mit einem Umsatz von 283 Millionen Euro</w:t>
      </w:r>
      <w:r w:rsidR="00866332">
        <w:rPr>
          <w:noProof/>
          <w:sz w:val="22"/>
          <w:szCs w:val="22"/>
          <w:lang w:val="de-DE"/>
        </w:rPr>
        <w:t xml:space="preserve"> bei den Passiven</w:t>
      </w:r>
      <w:r w:rsidRPr="00866332">
        <w:rPr>
          <w:noProof/>
          <w:sz w:val="22"/>
          <w:szCs w:val="22"/>
          <w:lang w:val="de-DE"/>
        </w:rPr>
        <w:t>.</w:t>
      </w:r>
      <w:r w:rsidR="00866332" w:rsidRPr="00866332">
        <w:rPr>
          <w:noProof/>
          <w:sz w:val="22"/>
          <w:szCs w:val="22"/>
          <w:lang w:val="de-DE"/>
        </w:rPr>
        <w:t xml:space="preserve"> </w:t>
      </w:r>
      <w:r w:rsidRPr="00866332">
        <w:rPr>
          <w:noProof/>
          <w:sz w:val="22"/>
          <w:szCs w:val="22"/>
          <w:lang w:val="de-DE"/>
        </w:rPr>
        <w:t>Elektromechanik (-9,6%) und Stromversorgungen (-8,5%) entwickelten sich vergleichsweise positiv.</w:t>
      </w:r>
    </w:p>
    <w:p w14:paraId="24F1471F" w14:textId="74B4D4F3" w:rsidR="00D75B16" w:rsidRPr="00866332" w:rsidRDefault="00D75B16" w:rsidP="00866332">
      <w:pPr>
        <w:spacing w:line="360" w:lineRule="auto"/>
        <w:rPr>
          <w:noProof/>
          <w:sz w:val="22"/>
          <w:szCs w:val="22"/>
          <w:lang w:val="de-DE"/>
        </w:rPr>
      </w:pPr>
      <w:r w:rsidRPr="00866332">
        <w:rPr>
          <w:noProof/>
          <w:sz w:val="22"/>
          <w:szCs w:val="22"/>
          <w:lang w:val="de-DE"/>
        </w:rPr>
        <w:t>Ein Lichtblick zeigt sich bei den Neubestellungen: Diese stiegen im ersten Quartal 2025 auf 799 Millionen Euro, ein Plus von 24,1% gegenüber dem Vorjahresquartal. Mit einer Book-to-Bill-Rate von 0,98 gibt es Hoffnung auf eine</w:t>
      </w:r>
      <w:r w:rsidR="00866332" w:rsidRPr="00866332">
        <w:rPr>
          <w:noProof/>
          <w:sz w:val="22"/>
          <w:szCs w:val="22"/>
          <w:lang w:val="de-DE"/>
        </w:rPr>
        <w:t xml:space="preserve"> </w:t>
      </w:r>
      <w:r w:rsidR="002F2804" w:rsidRPr="00866332">
        <w:rPr>
          <w:noProof/>
          <w:sz w:val="22"/>
          <w:szCs w:val="22"/>
          <w:lang w:val="de-DE"/>
        </w:rPr>
        <w:t xml:space="preserve">spürbare </w:t>
      </w:r>
      <w:r w:rsidRPr="00866332">
        <w:rPr>
          <w:noProof/>
          <w:sz w:val="22"/>
          <w:szCs w:val="22"/>
          <w:lang w:val="de-DE"/>
        </w:rPr>
        <w:t xml:space="preserve"> </w:t>
      </w:r>
      <w:r w:rsidR="002F2804" w:rsidRPr="00866332">
        <w:rPr>
          <w:noProof/>
          <w:sz w:val="22"/>
          <w:szCs w:val="22"/>
          <w:lang w:val="de-DE"/>
        </w:rPr>
        <w:t>Erhol</w:t>
      </w:r>
      <w:r w:rsidRPr="00866332">
        <w:rPr>
          <w:noProof/>
          <w:sz w:val="22"/>
          <w:szCs w:val="22"/>
          <w:lang w:val="de-DE"/>
        </w:rPr>
        <w:t xml:space="preserve">ung in der zweiten Jahreshälfte, sodass das Jahr 2025 insgesamt ein Ergebnis auf </w:t>
      </w:r>
      <w:r w:rsidRPr="00866332">
        <w:rPr>
          <w:noProof/>
          <w:sz w:val="22"/>
          <w:szCs w:val="22"/>
          <w:lang w:val="de-DE"/>
        </w:rPr>
        <w:lastRenderedPageBreak/>
        <w:t>Vorjahresniveau erreichen könnte</w:t>
      </w:r>
      <w:r w:rsidR="00EA38BB" w:rsidRPr="00866332">
        <w:rPr>
          <w:noProof/>
          <w:sz w:val="22"/>
          <w:szCs w:val="22"/>
          <w:lang w:val="de-DE"/>
        </w:rPr>
        <w:t xml:space="preserve">, zumal auch </w:t>
      </w:r>
      <w:r w:rsidR="00C57CE8" w:rsidRPr="00866332">
        <w:rPr>
          <w:noProof/>
          <w:sz w:val="22"/>
          <w:szCs w:val="22"/>
          <w:lang w:val="de-DE"/>
        </w:rPr>
        <w:t xml:space="preserve">2024 </w:t>
      </w:r>
      <w:r w:rsidR="001636CB" w:rsidRPr="00866332">
        <w:rPr>
          <w:noProof/>
          <w:sz w:val="22"/>
          <w:szCs w:val="22"/>
          <w:lang w:val="de-DE"/>
        </w:rPr>
        <w:t xml:space="preserve">in der </w:t>
      </w:r>
      <w:r w:rsidR="00E628FA" w:rsidRPr="00866332">
        <w:rPr>
          <w:noProof/>
          <w:sz w:val="22"/>
          <w:szCs w:val="22"/>
          <w:lang w:val="de-DE"/>
        </w:rPr>
        <w:t>zweite</w:t>
      </w:r>
      <w:r w:rsidR="001636CB" w:rsidRPr="00866332">
        <w:rPr>
          <w:noProof/>
          <w:sz w:val="22"/>
          <w:szCs w:val="22"/>
          <w:lang w:val="de-DE"/>
        </w:rPr>
        <w:t>n</w:t>
      </w:r>
      <w:r w:rsidR="00E628FA" w:rsidRPr="00866332">
        <w:rPr>
          <w:noProof/>
          <w:sz w:val="22"/>
          <w:szCs w:val="22"/>
          <w:lang w:val="de-DE"/>
        </w:rPr>
        <w:t xml:space="preserve"> Jahreshäfte </w:t>
      </w:r>
      <w:r w:rsidR="001636CB" w:rsidRPr="00866332">
        <w:rPr>
          <w:noProof/>
          <w:sz w:val="22"/>
          <w:szCs w:val="22"/>
          <w:lang w:val="de-DE"/>
        </w:rPr>
        <w:t xml:space="preserve">eine </w:t>
      </w:r>
      <w:r w:rsidR="00E628FA" w:rsidRPr="00866332">
        <w:rPr>
          <w:noProof/>
          <w:sz w:val="22"/>
          <w:szCs w:val="22"/>
          <w:lang w:val="de-DE"/>
        </w:rPr>
        <w:t xml:space="preserve">starke </w:t>
      </w:r>
      <w:r w:rsidR="001636CB" w:rsidRPr="00866332">
        <w:rPr>
          <w:noProof/>
          <w:sz w:val="22"/>
          <w:szCs w:val="22"/>
          <w:lang w:val="de-DE"/>
        </w:rPr>
        <w:t>Konsolidierung zeigte</w:t>
      </w:r>
      <w:r w:rsidR="00041E8B" w:rsidRPr="00866332">
        <w:rPr>
          <w:noProof/>
          <w:sz w:val="22"/>
          <w:szCs w:val="22"/>
          <w:lang w:val="de-DE"/>
        </w:rPr>
        <w:t>.</w:t>
      </w:r>
      <w:r w:rsidR="001636CB" w:rsidRPr="00866332">
        <w:rPr>
          <w:noProof/>
          <w:sz w:val="22"/>
          <w:szCs w:val="22"/>
          <w:lang w:val="de-DE"/>
        </w:rPr>
        <w:t xml:space="preserve"> </w:t>
      </w:r>
    </w:p>
    <w:p w14:paraId="42F671DD" w14:textId="41E675CE" w:rsidR="00EC78FE" w:rsidRPr="00866332" w:rsidRDefault="00EC78FE" w:rsidP="00866332">
      <w:pPr>
        <w:spacing w:line="360" w:lineRule="auto"/>
        <w:rPr>
          <w:noProof/>
          <w:sz w:val="22"/>
          <w:szCs w:val="22"/>
          <w:lang w:val="de-DE"/>
        </w:rPr>
      </w:pPr>
    </w:p>
    <w:p w14:paraId="26290482" w14:textId="3538011E" w:rsidR="00A76EBF" w:rsidRPr="00866332" w:rsidRDefault="003B06A6" w:rsidP="00866332">
      <w:pPr>
        <w:spacing w:line="360" w:lineRule="auto"/>
        <w:rPr>
          <w:noProof/>
          <w:sz w:val="22"/>
          <w:szCs w:val="22"/>
          <w:lang w:val="de-DE"/>
        </w:rPr>
      </w:pPr>
      <w:r w:rsidRPr="00866332">
        <w:rPr>
          <w:noProof/>
          <w:sz w:val="22"/>
          <w:szCs w:val="22"/>
          <w:lang w:val="de-DE"/>
        </w:rPr>
        <w:t>FBDi-Geschäftsführer Andreas Falke:</w:t>
      </w:r>
      <w:r w:rsidR="00D807EB" w:rsidRPr="00866332">
        <w:rPr>
          <w:noProof/>
          <w:sz w:val="22"/>
          <w:szCs w:val="22"/>
          <w:lang w:val="de-DE"/>
        </w:rPr>
        <w:t xml:space="preserve"> </w:t>
      </w:r>
      <w:r w:rsidR="00041E8B" w:rsidRPr="00866332">
        <w:rPr>
          <w:noProof/>
          <w:sz w:val="22"/>
          <w:szCs w:val="22"/>
          <w:lang w:val="de-DE"/>
        </w:rPr>
        <w:t>„</w:t>
      </w:r>
      <w:r w:rsidR="00A76EBF" w:rsidRPr="00866332">
        <w:rPr>
          <w:noProof/>
          <w:sz w:val="22"/>
          <w:szCs w:val="22"/>
          <w:lang w:val="de-DE"/>
        </w:rPr>
        <w:t xml:space="preserve">Die wirtschaftlichen Prognosen für 2025 sind so herausfordernd wie selten zuvor. Geopolitische Spannungen, steigende Zölle und fragile Lieferketten sorgen weltweit für Unsicherheit. Die zunehmende Fragmentierung der Weltwirtschaft belastet das Wachstum erheblich, sodass die globale Wirtschaft in diesem Jahr voraussichtlich nur um 2% zulegen wird. </w:t>
      </w:r>
      <w:r w:rsidR="00866332">
        <w:rPr>
          <w:noProof/>
          <w:sz w:val="22"/>
          <w:szCs w:val="22"/>
          <w:lang w:val="de-DE"/>
        </w:rPr>
        <w:t>B</w:t>
      </w:r>
      <w:r w:rsidR="00A76EBF" w:rsidRPr="00866332">
        <w:rPr>
          <w:noProof/>
          <w:sz w:val="22"/>
          <w:szCs w:val="22"/>
          <w:lang w:val="de-DE"/>
        </w:rPr>
        <w:t>esonders betroffen ist Deutschland: Laut dem Institut der Deutschen Wirtschaft wird das reale BIP hier um 0,2% sinken. Die Handelspolitik der USA führt zu starken Verwerfungen im internationalen Warenverkehr, was den globalen Warenhandel um lediglich 1,5% wachsen lässt – eine Entwicklung, die die exportorientierte deutsche Wirtschaft besonders trifft.</w:t>
      </w:r>
    </w:p>
    <w:p w14:paraId="13EFFAB6" w14:textId="60F82CD6" w:rsidR="006D03D7" w:rsidRPr="00866332" w:rsidRDefault="00A76EBF" w:rsidP="00866332">
      <w:pPr>
        <w:spacing w:line="360" w:lineRule="auto"/>
        <w:rPr>
          <w:b/>
          <w:bCs/>
          <w:noProof/>
          <w:sz w:val="22"/>
          <w:szCs w:val="22"/>
        </w:rPr>
      </w:pPr>
      <w:r w:rsidRPr="00866332">
        <w:rPr>
          <w:noProof/>
          <w:sz w:val="22"/>
          <w:szCs w:val="22"/>
          <w:lang w:val="de-DE"/>
        </w:rPr>
        <w:t xml:space="preserve">Wirtschaft und Politik sind gefordert, mutige Schritte zu gehen und aktiv auf die massiven Veränderungen zu </w:t>
      </w:r>
      <w:r w:rsidR="00BB36CD" w:rsidRPr="00866332">
        <w:rPr>
          <w:noProof/>
          <w:sz w:val="22"/>
          <w:szCs w:val="22"/>
          <w:lang w:val="de-DE"/>
        </w:rPr>
        <w:t>antizipiere</w:t>
      </w:r>
      <w:r w:rsidR="00382EE9" w:rsidRPr="00866332">
        <w:rPr>
          <w:noProof/>
          <w:sz w:val="22"/>
          <w:szCs w:val="22"/>
          <w:lang w:val="de-DE"/>
        </w:rPr>
        <w:t>n und zu reagier</w:t>
      </w:r>
      <w:r w:rsidR="00041E8B" w:rsidRPr="00866332">
        <w:rPr>
          <w:noProof/>
          <w:sz w:val="22"/>
          <w:szCs w:val="22"/>
          <w:lang w:val="de-DE"/>
        </w:rPr>
        <w:t>e</w:t>
      </w:r>
      <w:r w:rsidR="00382EE9" w:rsidRPr="00866332">
        <w:rPr>
          <w:noProof/>
          <w:sz w:val="22"/>
          <w:szCs w:val="22"/>
          <w:lang w:val="de-DE"/>
        </w:rPr>
        <w:t>n</w:t>
      </w:r>
      <w:r w:rsidRPr="00866332">
        <w:rPr>
          <w:noProof/>
          <w:sz w:val="22"/>
          <w:szCs w:val="22"/>
          <w:lang w:val="de-DE"/>
        </w:rPr>
        <w:t xml:space="preserve">. Die Gewinner von morgen gestalten ihr Geschäftsmodell bereits heute neu, setzen auf Innovation, Resilienz und nachhaltige Kooperationen. </w:t>
      </w:r>
      <w:r w:rsidR="006D03D7" w:rsidRPr="00866332">
        <w:rPr>
          <w:noProof/>
          <w:sz w:val="22"/>
          <w:szCs w:val="22"/>
          <w:lang w:val="de-DE"/>
        </w:rPr>
        <w:t xml:space="preserve">Von daher sind robuste Netzwerke mit qualifizierten Distributionspartnern und Innovation der Schlüssel zur Erhöhung der Widerstandsfähigkeit, um die kommenden Veränderungen proaktiv gestalten zu können. </w:t>
      </w:r>
      <w:r w:rsidR="006D03D7" w:rsidRPr="00866332">
        <w:rPr>
          <w:noProof/>
          <w:sz w:val="22"/>
          <w:szCs w:val="22"/>
        </w:rPr>
        <w:t>Die Ära der reinen Preisoptimierung bestehender Warenströme ist vorüber – jetzt sind kreative Lösungen und strategische Weitsicht gefragt, um nachhaltigen Erfolg zu sichern.</w:t>
      </w:r>
      <w:r w:rsidR="00E107AB" w:rsidRPr="00866332">
        <w:rPr>
          <w:noProof/>
          <w:sz w:val="22"/>
          <w:szCs w:val="22"/>
        </w:rPr>
        <w:t>“</w:t>
      </w:r>
    </w:p>
    <w:p w14:paraId="01596E6D" w14:textId="77777777" w:rsidR="006F5A79" w:rsidRPr="00866332" w:rsidRDefault="006F5A79" w:rsidP="00B82A10">
      <w:pPr>
        <w:jc w:val="both"/>
        <w:rPr>
          <w:noProof/>
          <w:lang w:val="de-DE"/>
        </w:rPr>
      </w:pPr>
    </w:p>
    <w:p w14:paraId="7239D214" w14:textId="08008291" w:rsidR="00F83135" w:rsidRPr="00866332" w:rsidRDefault="00F83135" w:rsidP="00242B3C">
      <w:pPr>
        <w:tabs>
          <w:tab w:val="left" w:pos="2694"/>
        </w:tabs>
        <w:jc w:val="both"/>
        <w:rPr>
          <w:noProof/>
          <w:lang w:val="de-DE"/>
        </w:rPr>
      </w:pPr>
      <w:r w:rsidRPr="00866332">
        <w:rPr>
          <w:noProof/>
          <w:lang w:val="de-DE"/>
        </w:rPr>
        <w:tab/>
        <w:t># # #</w:t>
      </w:r>
    </w:p>
    <w:p w14:paraId="4ADDD9EF" w14:textId="53ACC0C2" w:rsidR="007B6C31" w:rsidRPr="00866332" w:rsidRDefault="007B6C31" w:rsidP="00B82A10">
      <w:pPr>
        <w:jc w:val="both"/>
        <w:rPr>
          <w:rFonts w:cs="Arial"/>
          <w:noProof/>
          <w:lang w:val="de-DE"/>
        </w:rPr>
      </w:pPr>
    </w:p>
    <w:p w14:paraId="26ACD444" w14:textId="16B254D3" w:rsidR="00B710B6" w:rsidRPr="00F43171" w:rsidRDefault="00B710B6" w:rsidP="00B710B6">
      <w:pPr>
        <w:rPr>
          <w:rFonts w:cs="Arial"/>
          <w:b/>
          <w:bCs/>
          <w:sz w:val="22"/>
          <w:szCs w:val="22"/>
          <w:lang w:val="de-DE"/>
        </w:rPr>
      </w:pPr>
      <w:r w:rsidRPr="00F43171">
        <w:rPr>
          <w:rFonts w:cs="Arial"/>
          <w:b/>
          <w:bCs/>
          <w:sz w:val="22"/>
          <w:szCs w:val="22"/>
          <w:lang w:val="de-DE"/>
        </w:rPr>
        <w:t>Fachverband der Bauelemente Distribution e.V. (</w:t>
      </w:r>
      <w:hyperlink r:id="rId8" w:history="1">
        <w:r w:rsidRPr="00F43171">
          <w:rPr>
            <w:rStyle w:val="Hyperlink"/>
            <w:rFonts w:cs="Arial"/>
            <w:b/>
            <w:bCs/>
            <w:sz w:val="22"/>
            <w:szCs w:val="22"/>
            <w:lang w:val="de-DE"/>
          </w:rPr>
          <w:t>www.fbdi.de</w:t>
        </w:r>
      </w:hyperlink>
      <w:r w:rsidRPr="00F43171">
        <w:rPr>
          <w:rFonts w:cs="Arial"/>
          <w:b/>
          <w:bCs/>
          <w:sz w:val="22"/>
          <w:szCs w:val="22"/>
          <w:lang w:val="de-DE"/>
        </w:rPr>
        <w:t xml:space="preserve">): </w:t>
      </w:r>
    </w:p>
    <w:p w14:paraId="4F57FFEE" w14:textId="77777777" w:rsidR="00B710B6" w:rsidRPr="00F43171" w:rsidRDefault="00B710B6" w:rsidP="00B710B6">
      <w:pPr>
        <w:rPr>
          <w:rFonts w:cs="Arial"/>
          <w:sz w:val="22"/>
          <w:szCs w:val="22"/>
          <w:lang w:val="de-DE"/>
        </w:rPr>
      </w:pPr>
      <w:r w:rsidRPr="00F43171">
        <w:rPr>
          <w:rFonts w:cs="Arial"/>
          <w:sz w:val="22"/>
          <w:szCs w:val="22"/>
          <w:lang w:val="de-DE"/>
        </w:rPr>
        <w:t>Der 2003 gegründete FBDi e.V. ist eine etablierte Größe in der deutschen Verbandslandschaft und bündelt die Interessen seiner Mitglieder aus der Distribution, die rund drei Viertel des Umsatzvolumens elektronischer Komponenten in Zentral-Europa (DACH) vertreten. Dabei überblickt er die gesamte Wertschöpfungskette der Elektronik.</w:t>
      </w:r>
    </w:p>
    <w:p w14:paraId="7E023562" w14:textId="77777777" w:rsidR="00B710B6" w:rsidRPr="00F43171" w:rsidRDefault="00B710B6" w:rsidP="00B710B6">
      <w:pPr>
        <w:rPr>
          <w:rFonts w:cs="Arial"/>
          <w:sz w:val="22"/>
          <w:szCs w:val="22"/>
          <w:lang w:val="de-DE"/>
        </w:rPr>
      </w:pPr>
      <w:r w:rsidRPr="00F43171">
        <w:rPr>
          <w:rFonts w:cs="Arial"/>
          <w:sz w:val="22"/>
          <w:szCs w:val="22"/>
          <w:lang w:val="de-DE"/>
        </w:rPr>
        <w:t xml:space="preserve">Neben der Aufbereitung und Weiterentwicklung von Daten zum zentraleuropäischen Distributionsmarkt erzeugen Competence Teams zu wichtigen Themen der Regulatorik in der Elektronikindustrie (u.a. CE, Richtlinien und Verordnungen) eine hohe marktnahe Kompetenz. Diese qualifiziert den FBDi zum gefragten Partner für Politik, Elektronik-Hersteller und -Kunden. </w:t>
      </w:r>
    </w:p>
    <w:p w14:paraId="35C6EE55" w14:textId="77777777" w:rsidR="00B710B6" w:rsidRPr="00F43171" w:rsidRDefault="00B710B6" w:rsidP="00B710B6">
      <w:pPr>
        <w:rPr>
          <w:rFonts w:cs="Arial"/>
          <w:sz w:val="22"/>
          <w:szCs w:val="22"/>
          <w:lang w:val="de-DE"/>
        </w:rPr>
      </w:pPr>
      <w:r w:rsidRPr="00F43171">
        <w:rPr>
          <w:rFonts w:cs="Arial"/>
          <w:sz w:val="22"/>
          <w:szCs w:val="22"/>
          <w:lang w:val="de-DE"/>
        </w:rPr>
        <w:t xml:space="preserve">Über die Mitgliedschaft im internationalen Distributionsverband IDEA erfolgt der Austausch mit anderen Verbänden auf europäischer Ebene. </w:t>
      </w:r>
    </w:p>
    <w:p w14:paraId="2BB204ED" w14:textId="77777777" w:rsidR="00B710B6" w:rsidRPr="00F43171" w:rsidRDefault="00B710B6" w:rsidP="00B710B6">
      <w:pPr>
        <w:pStyle w:val="bodytext"/>
        <w:ind w:right="284"/>
        <w:rPr>
          <w:color w:val="auto"/>
          <w:sz w:val="22"/>
          <w:szCs w:val="22"/>
        </w:rPr>
      </w:pPr>
    </w:p>
    <w:p w14:paraId="4B950D47" w14:textId="77777777" w:rsidR="00975B73" w:rsidRPr="00866332" w:rsidRDefault="00975B73" w:rsidP="00975B73">
      <w:pPr>
        <w:ind w:right="284"/>
        <w:rPr>
          <w:sz w:val="22"/>
          <w:szCs w:val="22"/>
          <w:lang w:val="de-DE"/>
        </w:rPr>
      </w:pPr>
      <w:r w:rsidRPr="00866332">
        <w:rPr>
          <w:rFonts w:cs="Arial"/>
          <w:b/>
          <w:bCs/>
          <w:sz w:val="22"/>
          <w:szCs w:val="22"/>
          <w:lang w:val="de-DE"/>
        </w:rPr>
        <w:t>Die Mitgliedsunternehmen (Stand April 2025):</w:t>
      </w:r>
    </w:p>
    <w:p w14:paraId="302B294C" w14:textId="77777777" w:rsidR="00975B73" w:rsidRPr="00866332" w:rsidRDefault="00975B73" w:rsidP="00975B73">
      <w:pPr>
        <w:ind w:right="284"/>
        <w:rPr>
          <w:rFonts w:cs="Arial"/>
          <w:sz w:val="22"/>
          <w:szCs w:val="22"/>
          <w:lang w:val="de-DE"/>
        </w:rPr>
      </w:pPr>
      <w:r w:rsidRPr="00866332">
        <w:rPr>
          <w:rFonts w:cs="Arial"/>
          <w:b/>
          <w:sz w:val="22"/>
          <w:szCs w:val="22"/>
          <w:lang w:val="de-DE"/>
        </w:rPr>
        <w:lastRenderedPageBreak/>
        <w:t>Mitglieder:</w:t>
      </w:r>
      <w:r w:rsidRPr="00866332">
        <w:rPr>
          <w:rFonts w:cs="Arial"/>
          <w:sz w:val="22"/>
          <w:szCs w:val="22"/>
          <w:lang w:val="de-DE"/>
        </w:rPr>
        <w:t xml:space="preserve"> Acal BFi Germany; AL-Elektronik Distribution; alfatec; Arrow Europe; Avnet EMG EMEA; Beck Elektronische Bauelemente; Blume Elektronik Distribution; Bürklin Elektronik; CODICO; Conrad Electronic; DACOM West, Distrelec; Ecomal Europe; Endrich Bauelemente; EVE; Future Electronics Deutschland; Glyn; Gudeco Elektronik; Haug Components Holding; Hy-Line Holding; JIT electronic; Kruse Electronic Components; MB Electronic; MEDI Kabel; Memphis Electronic; Menges Electronic; MEV Elektronik Service; mewa electronic; Mouser Electronics; Neumüller Elektronik; pk components; Püplichhuisen; ROTIMA; RS Components; Rutronik Elektronische Bauelemente; Schukat electronic; SE Spezial-Electronic; SEMITRON W.Röck; TTI Europe; WDI.</w:t>
      </w:r>
    </w:p>
    <w:p w14:paraId="02DC0D8C" w14:textId="77777777" w:rsidR="00975B73" w:rsidRPr="00866332" w:rsidRDefault="00975B73" w:rsidP="00975B73">
      <w:pPr>
        <w:ind w:right="284"/>
        <w:rPr>
          <w:rFonts w:cs="Arial"/>
          <w:sz w:val="22"/>
          <w:szCs w:val="22"/>
          <w:lang w:val="de-DE"/>
        </w:rPr>
      </w:pPr>
      <w:r w:rsidRPr="00866332">
        <w:rPr>
          <w:rFonts w:cs="Arial"/>
          <w:b/>
          <w:sz w:val="22"/>
          <w:szCs w:val="22"/>
          <w:lang w:val="de-DE"/>
        </w:rPr>
        <w:t>Fördermitglieder</w:t>
      </w:r>
      <w:r w:rsidRPr="00866332">
        <w:rPr>
          <w:rFonts w:cs="Arial"/>
          <w:sz w:val="22"/>
          <w:szCs w:val="22"/>
          <w:lang w:val="de-DE"/>
        </w:rPr>
        <w:t>: TDK Europe, Recom.</w:t>
      </w:r>
    </w:p>
    <w:p w14:paraId="4F006B88" w14:textId="77777777" w:rsidR="00975B73" w:rsidRPr="00866332" w:rsidRDefault="00975B73" w:rsidP="00975B73">
      <w:pPr>
        <w:ind w:right="284"/>
        <w:rPr>
          <w:color w:val="000000"/>
          <w:sz w:val="22"/>
          <w:szCs w:val="22"/>
          <w:lang w:val="de-DE"/>
        </w:rPr>
      </w:pPr>
    </w:p>
    <w:p w14:paraId="5E2A18AC" w14:textId="77777777" w:rsidR="00975B73" w:rsidRPr="00866332" w:rsidRDefault="00975B73" w:rsidP="00975B73">
      <w:pPr>
        <w:ind w:right="284"/>
        <w:outlineLvl w:val="0"/>
        <w:rPr>
          <w:rFonts w:cs="Arial"/>
          <w:b/>
          <w:sz w:val="22"/>
          <w:szCs w:val="22"/>
          <w:lang w:val="de-DE"/>
        </w:rPr>
      </w:pPr>
      <w:r w:rsidRPr="00866332">
        <w:rPr>
          <w:rFonts w:cs="Arial"/>
          <w:b/>
          <w:sz w:val="22"/>
          <w:szCs w:val="22"/>
          <w:lang w:val="de-DE"/>
        </w:rPr>
        <w:t xml:space="preserve">Pressekontakt: </w:t>
      </w:r>
    </w:p>
    <w:p w14:paraId="10016E48" w14:textId="77777777" w:rsidR="00975B73" w:rsidRPr="00866332" w:rsidRDefault="00975B73" w:rsidP="00975B73">
      <w:pPr>
        <w:rPr>
          <w:rFonts w:cs="Arial"/>
          <w:sz w:val="22"/>
          <w:szCs w:val="22"/>
          <w:lang w:val="de-DE"/>
        </w:rPr>
      </w:pPr>
      <w:r w:rsidRPr="00866332">
        <w:rPr>
          <w:rFonts w:cs="Arial"/>
          <w:b/>
          <w:sz w:val="22"/>
          <w:szCs w:val="22"/>
          <w:lang w:val="de-DE"/>
        </w:rPr>
        <w:t>FBDI e. V.,</w:t>
      </w:r>
      <w:r w:rsidRPr="00866332">
        <w:rPr>
          <w:rFonts w:cs="Arial"/>
          <w:sz w:val="22"/>
          <w:szCs w:val="22"/>
          <w:lang w:val="de-DE"/>
        </w:rPr>
        <w:t xml:space="preserve"> Andreas Falke, Geschäftsführer, Ludwigkirchplatz 8, 10719 Berlin; </w:t>
      </w:r>
    </w:p>
    <w:p w14:paraId="21F073EF" w14:textId="77777777" w:rsidR="00975B73" w:rsidRPr="00D0715C" w:rsidRDefault="00975B73" w:rsidP="00975B73">
      <w:pPr>
        <w:rPr>
          <w:rFonts w:cs="Arial"/>
          <w:sz w:val="22"/>
          <w:szCs w:val="22"/>
          <w:lang w:val="pt-BR"/>
        </w:rPr>
      </w:pPr>
      <w:r w:rsidRPr="00D0715C">
        <w:rPr>
          <w:rFonts w:cs="Arial"/>
          <w:sz w:val="22"/>
          <w:szCs w:val="22"/>
          <w:lang w:val="pt-BR"/>
        </w:rPr>
        <w:t xml:space="preserve">Tel.: +49 174 / 8702 753; </w:t>
      </w:r>
      <w:hyperlink r:id="rId9" w:history="1">
        <w:r w:rsidRPr="00D0715C">
          <w:rPr>
            <w:rStyle w:val="Hyperlink"/>
            <w:rFonts w:cs="Arial"/>
            <w:sz w:val="22"/>
            <w:szCs w:val="22"/>
            <w:lang w:val="pt-BR"/>
          </w:rPr>
          <w:t>a.falke@fbdi.de</w:t>
        </w:r>
      </w:hyperlink>
      <w:r w:rsidRPr="00D0715C">
        <w:rPr>
          <w:rFonts w:cs="Arial"/>
          <w:sz w:val="22"/>
          <w:szCs w:val="22"/>
          <w:lang w:val="pt-BR"/>
        </w:rPr>
        <w:t xml:space="preserve"> </w:t>
      </w:r>
    </w:p>
    <w:p w14:paraId="23EC416F" w14:textId="77777777" w:rsidR="00975B73" w:rsidRDefault="00975B73" w:rsidP="00CF3039">
      <w:pPr>
        <w:ind w:right="284"/>
        <w:rPr>
          <w:rFonts w:cs="Arial"/>
          <w:b/>
          <w:bCs/>
          <w:sz w:val="22"/>
          <w:szCs w:val="22"/>
          <w:lang w:val="de-DE"/>
        </w:rPr>
      </w:pPr>
    </w:p>
    <w:p w14:paraId="71BEF3AE" w14:textId="77777777" w:rsidR="00975B73" w:rsidRDefault="00975B73" w:rsidP="00CF3039">
      <w:pPr>
        <w:ind w:right="284"/>
        <w:rPr>
          <w:rFonts w:cs="Arial"/>
          <w:b/>
          <w:bCs/>
          <w:sz w:val="22"/>
          <w:szCs w:val="22"/>
          <w:lang w:val="de-DE"/>
        </w:rPr>
      </w:pPr>
    </w:p>
    <w:p w14:paraId="23ADA10D" w14:textId="77777777" w:rsidR="00E77568" w:rsidRPr="007E4D8D" w:rsidRDefault="00E77568" w:rsidP="007E4D8D">
      <w:pPr>
        <w:rPr>
          <w:noProof/>
          <w:lang w:val="de-DE"/>
        </w:rPr>
      </w:pPr>
    </w:p>
    <w:sectPr w:rsidR="00E77568" w:rsidRPr="007E4D8D" w:rsidSect="000C3086">
      <w:head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2CF20" w14:textId="77777777" w:rsidR="00874938" w:rsidRDefault="00874938">
      <w:r>
        <w:separator/>
      </w:r>
    </w:p>
  </w:endnote>
  <w:endnote w:type="continuationSeparator" w:id="0">
    <w:p w14:paraId="3831C087" w14:textId="77777777" w:rsidR="00874938" w:rsidRDefault="00874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91227" w14:textId="77777777" w:rsidR="00874938" w:rsidRDefault="00874938">
      <w:r>
        <w:separator/>
      </w:r>
    </w:p>
  </w:footnote>
  <w:footnote w:type="continuationSeparator" w:id="0">
    <w:p w14:paraId="36E42FD5" w14:textId="77777777" w:rsidR="00874938" w:rsidRDefault="008749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A2D5E" w14:textId="0AEF2FB3" w:rsidR="00F147D0" w:rsidRDefault="008F0F51">
    <w:pPr>
      <w:pStyle w:val="Kopfzeile"/>
      <w:jc w:val="right"/>
    </w:pPr>
    <w:r>
      <w:rPr>
        <w:noProof/>
        <w:lang w:val="de-DE" w:eastAsia="de-DE"/>
      </w:rPr>
      <w:drawing>
        <wp:inline distT="0" distB="0" distL="0" distR="0" wp14:anchorId="15058F8A" wp14:editId="11606CBD">
          <wp:extent cx="2133600" cy="858275"/>
          <wp:effectExtent l="19050" t="0" r="0" b="0"/>
          <wp:docPr id="2" name="Picture 1" descr="FBDi-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Di-Logo.jpg"/>
                  <pic:cNvPicPr/>
                </pic:nvPicPr>
                <pic:blipFill>
                  <a:blip r:embed="rId1"/>
                  <a:stretch>
                    <a:fillRect/>
                  </a:stretch>
                </pic:blipFill>
                <pic:spPr>
                  <a:xfrm>
                    <a:off x="0" y="0"/>
                    <a:ext cx="2133600" cy="858275"/>
                  </a:xfrm>
                  <a:prstGeom prst="rect">
                    <a:avLst/>
                  </a:prstGeom>
                </pic:spPr>
              </pic:pic>
            </a:graphicData>
          </a:graphic>
        </wp:inline>
      </w:drawing>
    </w:r>
  </w:p>
  <w:p w14:paraId="6E6B62C3" w14:textId="77777777" w:rsidR="00F147D0" w:rsidRDefault="00F147D0">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018844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567BA9"/>
    <w:multiLevelType w:val="hybridMultilevel"/>
    <w:tmpl w:val="899A3E9C"/>
    <w:lvl w:ilvl="0" w:tplc="515C851A">
      <w:start w:val="1"/>
      <w:numFmt w:val="bullet"/>
      <w:lvlText w:val="•"/>
      <w:lvlJc w:val="left"/>
      <w:pPr>
        <w:tabs>
          <w:tab w:val="num" w:pos="720"/>
        </w:tabs>
        <w:ind w:left="720" w:hanging="360"/>
      </w:pPr>
      <w:rPr>
        <w:rFonts w:ascii="Arial" w:hAnsi="Arial" w:hint="default"/>
      </w:rPr>
    </w:lvl>
    <w:lvl w:ilvl="1" w:tplc="A6E2A10C" w:tentative="1">
      <w:start w:val="1"/>
      <w:numFmt w:val="bullet"/>
      <w:lvlText w:val="•"/>
      <w:lvlJc w:val="left"/>
      <w:pPr>
        <w:tabs>
          <w:tab w:val="num" w:pos="1440"/>
        </w:tabs>
        <w:ind w:left="1440" w:hanging="360"/>
      </w:pPr>
      <w:rPr>
        <w:rFonts w:ascii="Arial" w:hAnsi="Arial" w:hint="default"/>
      </w:rPr>
    </w:lvl>
    <w:lvl w:ilvl="2" w:tplc="E47E6D0A" w:tentative="1">
      <w:start w:val="1"/>
      <w:numFmt w:val="bullet"/>
      <w:lvlText w:val="•"/>
      <w:lvlJc w:val="left"/>
      <w:pPr>
        <w:tabs>
          <w:tab w:val="num" w:pos="2160"/>
        </w:tabs>
        <w:ind w:left="2160" w:hanging="360"/>
      </w:pPr>
      <w:rPr>
        <w:rFonts w:ascii="Arial" w:hAnsi="Arial" w:hint="default"/>
      </w:rPr>
    </w:lvl>
    <w:lvl w:ilvl="3" w:tplc="9C46AB58" w:tentative="1">
      <w:start w:val="1"/>
      <w:numFmt w:val="bullet"/>
      <w:lvlText w:val="•"/>
      <w:lvlJc w:val="left"/>
      <w:pPr>
        <w:tabs>
          <w:tab w:val="num" w:pos="2880"/>
        </w:tabs>
        <w:ind w:left="2880" w:hanging="360"/>
      </w:pPr>
      <w:rPr>
        <w:rFonts w:ascii="Arial" w:hAnsi="Arial" w:hint="default"/>
      </w:rPr>
    </w:lvl>
    <w:lvl w:ilvl="4" w:tplc="CA6883C4" w:tentative="1">
      <w:start w:val="1"/>
      <w:numFmt w:val="bullet"/>
      <w:lvlText w:val="•"/>
      <w:lvlJc w:val="left"/>
      <w:pPr>
        <w:tabs>
          <w:tab w:val="num" w:pos="3600"/>
        </w:tabs>
        <w:ind w:left="3600" w:hanging="360"/>
      </w:pPr>
      <w:rPr>
        <w:rFonts w:ascii="Arial" w:hAnsi="Arial" w:hint="default"/>
      </w:rPr>
    </w:lvl>
    <w:lvl w:ilvl="5" w:tplc="63B82968" w:tentative="1">
      <w:start w:val="1"/>
      <w:numFmt w:val="bullet"/>
      <w:lvlText w:val="•"/>
      <w:lvlJc w:val="left"/>
      <w:pPr>
        <w:tabs>
          <w:tab w:val="num" w:pos="4320"/>
        </w:tabs>
        <w:ind w:left="4320" w:hanging="360"/>
      </w:pPr>
      <w:rPr>
        <w:rFonts w:ascii="Arial" w:hAnsi="Arial" w:hint="default"/>
      </w:rPr>
    </w:lvl>
    <w:lvl w:ilvl="6" w:tplc="EAD81AC4" w:tentative="1">
      <w:start w:val="1"/>
      <w:numFmt w:val="bullet"/>
      <w:lvlText w:val="•"/>
      <w:lvlJc w:val="left"/>
      <w:pPr>
        <w:tabs>
          <w:tab w:val="num" w:pos="5040"/>
        </w:tabs>
        <w:ind w:left="5040" w:hanging="360"/>
      </w:pPr>
      <w:rPr>
        <w:rFonts w:ascii="Arial" w:hAnsi="Arial" w:hint="default"/>
      </w:rPr>
    </w:lvl>
    <w:lvl w:ilvl="7" w:tplc="18EEE728" w:tentative="1">
      <w:start w:val="1"/>
      <w:numFmt w:val="bullet"/>
      <w:lvlText w:val="•"/>
      <w:lvlJc w:val="left"/>
      <w:pPr>
        <w:tabs>
          <w:tab w:val="num" w:pos="5760"/>
        </w:tabs>
        <w:ind w:left="5760" w:hanging="360"/>
      </w:pPr>
      <w:rPr>
        <w:rFonts w:ascii="Arial" w:hAnsi="Arial" w:hint="default"/>
      </w:rPr>
    </w:lvl>
    <w:lvl w:ilvl="8" w:tplc="92A89E0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78A78BC"/>
    <w:multiLevelType w:val="hybridMultilevel"/>
    <w:tmpl w:val="7D989572"/>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nb-NO" w:vendorID="64" w:dllVersion="6" w:nlCheck="1" w:checkStyle="0"/>
  <w:activeWritingStyle w:appName="MSWord" w:lang="de-DE" w:vendorID="64" w:dllVersion="6" w:nlCheck="1" w:checkStyle="1"/>
  <w:activeWritingStyle w:appName="MSWord" w:lang="en-GB" w:vendorID="64" w:dllVersion="6" w:nlCheck="1" w:checkStyle="1"/>
  <w:activeWritingStyle w:appName="MSWord" w:lang="en-US" w:vendorID="64" w:dllVersion="6" w:nlCheck="1" w:checkStyle="1"/>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43A"/>
    <w:rsid w:val="0000013F"/>
    <w:rsid w:val="0000044C"/>
    <w:rsid w:val="00000A54"/>
    <w:rsid w:val="0000152B"/>
    <w:rsid w:val="000018CC"/>
    <w:rsid w:val="0000324D"/>
    <w:rsid w:val="00003BC0"/>
    <w:rsid w:val="0000594E"/>
    <w:rsid w:val="00005C7C"/>
    <w:rsid w:val="0000612F"/>
    <w:rsid w:val="00006C79"/>
    <w:rsid w:val="00011C4B"/>
    <w:rsid w:val="00012262"/>
    <w:rsid w:val="000123F3"/>
    <w:rsid w:val="00013208"/>
    <w:rsid w:val="00015BB2"/>
    <w:rsid w:val="00016FD7"/>
    <w:rsid w:val="0001784C"/>
    <w:rsid w:val="000214D4"/>
    <w:rsid w:val="000225E0"/>
    <w:rsid w:val="00022773"/>
    <w:rsid w:val="00023238"/>
    <w:rsid w:val="0002347E"/>
    <w:rsid w:val="00023841"/>
    <w:rsid w:val="00024AF0"/>
    <w:rsid w:val="00024C3A"/>
    <w:rsid w:val="00024DDE"/>
    <w:rsid w:val="0002565B"/>
    <w:rsid w:val="000265F2"/>
    <w:rsid w:val="0003166F"/>
    <w:rsid w:val="000324E5"/>
    <w:rsid w:val="00033459"/>
    <w:rsid w:val="0003377C"/>
    <w:rsid w:val="00033C5E"/>
    <w:rsid w:val="0003503E"/>
    <w:rsid w:val="00035436"/>
    <w:rsid w:val="00041E8B"/>
    <w:rsid w:val="00043578"/>
    <w:rsid w:val="00046C82"/>
    <w:rsid w:val="00046E5D"/>
    <w:rsid w:val="00047B29"/>
    <w:rsid w:val="00050151"/>
    <w:rsid w:val="000515D2"/>
    <w:rsid w:val="00056729"/>
    <w:rsid w:val="00061314"/>
    <w:rsid w:val="00065A07"/>
    <w:rsid w:val="0006730A"/>
    <w:rsid w:val="00072748"/>
    <w:rsid w:val="00073728"/>
    <w:rsid w:val="0007515C"/>
    <w:rsid w:val="00075F29"/>
    <w:rsid w:val="00081916"/>
    <w:rsid w:val="00081C17"/>
    <w:rsid w:val="00084EA0"/>
    <w:rsid w:val="000862E7"/>
    <w:rsid w:val="000907C6"/>
    <w:rsid w:val="00090E78"/>
    <w:rsid w:val="00091CB8"/>
    <w:rsid w:val="00092A94"/>
    <w:rsid w:val="00092A9D"/>
    <w:rsid w:val="00094A71"/>
    <w:rsid w:val="00094FED"/>
    <w:rsid w:val="000959A0"/>
    <w:rsid w:val="00095E2E"/>
    <w:rsid w:val="00096F7B"/>
    <w:rsid w:val="00097421"/>
    <w:rsid w:val="00097DCF"/>
    <w:rsid w:val="000A07E4"/>
    <w:rsid w:val="000A3725"/>
    <w:rsid w:val="000A392D"/>
    <w:rsid w:val="000A4FFC"/>
    <w:rsid w:val="000A679F"/>
    <w:rsid w:val="000A6E0B"/>
    <w:rsid w:val="000B09FE"/>
    <w:rsid w:val="000B0BAC"/>
    <w:rsid w:val="000B1305"/>
    <w:rsid w:val="000B1616"/>
    <w:rsid w:val="000B33D2"/>
    <w:rsid w:val="000B44DE"/>
    <w:rsid w:val="000B58CF"/>
    <w:rsid w:val="000B5B32"/>
    <w:rsid w:val="000B6B1C"/>
    <w:rsid w:val="000B755F"/>
    <w:rsid w:val="000B7AF4"/>
    <w:rsid w:val="000B7B05"/>
    <w:rsid w:val="000C07D6"/>
    <w:rsid w:val="000C0981"/>
    <w:rsid w:val="000C3086"/>
    <w:rsid w:val="000C3A4D"/>
    <w:rsid w:val="000C412E"/>
    <w:rsid w:val="000C4BA1"/>
    <w:rsid w:val="000C537B"/>
    <w:rsid w:val="000C68F9"/>
    <w:rsid w:val="000D1F4D"/>
    <w:rsid w:val="000D207F"/>
    <w:rsid w:val="000D4A83"/>
    <w:rsid w:val="000D4B95"/>
    <w:rsid w:val="000D5E0C"/>
    <w:rsid w:val="000D762D"/>
    <w:rsid w:val="000D7781"/>
    <w:rsid w:val="000E15B5"/>
    <w:rsid w:val="000E3FA9"/>
    <w:rsid w:val="000E4366"/>
    <w:rsid w:val="000E6ED4"/>
    <w:rsid w:val="000F016D"/>
    <w:rsid w:val="000F3C57"/>
    <w:rsid w:val="000F4DB5"/>
    <w:rsid w:val="0010103A"/>
    <w:rsid w:val="00107080"/>
    <w:rsid w:val="00107483"/>
    <w:rsid w:val="0011062A"/>
    <w:rsid w:val="0011212C"/>
    <w:rsid w:val="0011459C"/>
    <w:rsid w:val="00114CED"/>
    <w:rsid w:val="001166C1"/>
    <w:rsid w:val="00116E6F"/>
    <w:rsid w:val="00117321"/>
    <w:rsid w:val="00120876"/>
    <w:rsid w:val="00120BD2"/>
    <w:rsid w:val="00120F8E"/>
    <w:rsid w:val="00121D86"/>
    <w:rsid w:val="001221BC"/>
    <w:rsid w:val="00125187"/>
    <w:rsid w:val="00126A08"/>
    <w:rsid w:val="00127F78"/>
    <w:rsid w:val="001315D9"/>
    <w:rsid w:val="00134D06"/>
    <w:rsid w:val="001350EE"/>
    <w:rsid w:val="00136C3D"/>
    <w:rsid w:val="00137D6C"/>
    <w:rsid w:val="0014033A"/>
    <w:rsid w:val="00140911"/>
    <w:rsid w:val="001426D2"/>
    <w:rsid w:val="001435F8"/>
    <w:rsid w:val="00145332"/>
    <w:rsid w:val="00150524"/>
    <w:rsid w:val="001540AB"/>
    <w:rsid w:val="00154603"/>
    <w:rsid w:val="00155017"/>
    <w:rsid w:val="00157077"/>
    <w:rsid w:val="001571E1"/>
    <w:rsid w:val="0016126C"/>
    <w:rsid w:val="001628A6"/>
    <w:rsid w:val="001636CB"/>
    <w:rsid w:val="001654C6"/>
    <w:rsid w:val="00167AB9"/>
    <w:rsid w:val="001707A8"/>
    <w:rsid w:val="00171709"/>
    <w:rsid w:val="00173D31"/>
    <w:rsid w:val="0017472A"/>
    <w:rsid w:val="0017593F"/>
    <w:rsid w:val="00176D59"/>
    <w:rsid w:val="001775C6"/>
    <w:rsid w:val="00180D36"/>
    <w:rsid w:val="00182B8B"/>
    <w:rsid w:val="0018322E"/>
    <w:rsid w:val="0018324E"/>
    <w:rsid w:val="00184C91"/>
    <w:rsid w:val="00187B98"/>
    <w:rsid w:val="00191D60"/>
    <w:rsid w:val="00192D89"/>
    <w:rsid w:val="00193C4E"/>
    <w:rsid w:val="0019504D"/>
    <w:rsid w:val="00197A8F"/>
    <w:rsid w:val="001A0E71"/>
    <w:rsid w:val="001A21E3"/>
    <w:rsid w:val="001A55CA"/>
    <w:rsid w:val="001A7113"/>
    <w:rsid w:val="001A764F"/>
    <w:rsid w:val="001B145B"/>
    <w:rsid w:val="001B1B01"/>
    <w:rsid w:val="001B1D40"/>
    <w:rsid w:val="001B26D7"/>
    <w:rsid w:val="001B291C"/>
    <w:rsid w:val="001B308E"/>
    <w:rsid w:val="001B3115"/>
    <w:rsid w:val="001B4363"/>
    <w:rsid w:val="001B482C"/>
    <w:rsid w:val="001B5D67"/>
    <w:rsid w:val="001B5E0C"/>
    <w:rsid w:val="001B5E81"/>
    <w:rsid w:val="001B6279"/>
    <w:rsid w:val="001C2E1A"/>
    <w:rsid w:val="001C312E"/>
    <w:rsid w:val="001C32A2"/>
    <w:rsid w:val="001C363E"/>
    <w:rsid w:val="001C41E0"/>
    <w:rsid w:val="001C74EB"/>
    <w:rsid w:val="001D0FFA"/>
    <w:rsid w:val="001D3947"/>
    <w:rsid w:val="001D49E2"/>
    <w:rsid w:val="001E10DC"/>
    <w:rsid w:val="001E28A9"/>
    <w:rsid w:val="001E317E"/>
    <w:rsid w:val="001E3E8C"/>
    <w:rsid w:val="001E413A"/>
    <w:rsid w:val="001E4E60"/>
    <w:rsid w:val="001E59A6"/>
    <w:rsid w:val="001E5C61"/>
    <w:rsid w:val="001E6BB6"/>
    <w:rsid w:val="001F0F06"/>
    <w:rsid w:val="001F2BA5"/>
    <w:rsid w:val="001F3733"/>
    <w:rsid w:val="001F3DB9"/>
    <w:rsid w:val="001F404B"/>
    <w:rsid w:val="001F6004"/>
    <w:rsid w:val="001F618E"/>
    <w:rsid w:val="001F6ED2"/>
    <w:rsid w:val="00200D33"/>
    <w:rsid w:val="00200FF3"/>
    <w:rsid w:val="002010E0"/>
    <w:rsid w:val="002027BC"/>
    <w:rsid w:val="002040D6"/>
    <w:rsid w:val="00205E44"/>
    <w:rsid w:val="002067BC"/>
    <w:rsid w:val="00206FE7"/>
    <w:rsid w:val="00207ED8"/>
    <w:rsid w:val="00210DD5"/>
    <w:rsid w:val="002132DF"/>
    <w:rsid w:val="002137C7"/>
    <w:rsid w:val="00214959"/>
    <w:rsid w:val="00220DF3"/>
    <w:rsid w:val="00220F9A"/>
    <w:rsid w:val="00224561"/>
    <w:rsid w:val="00224D82"/>
    <w:rsid w:val="00225321"/>
    <w:rsid w:val="00230246"/>
    <w:rsid w:val="00232759"/>
    <w:rsid w:val="00232951"/>
    <w:rsid w:val="00232FFC"/>
    <w:rsid w:val="0023536E"/>
    <w:rsid w:val="00240450"/>
    <w:rsid w:val="002413EC"/>
    <w:rsid w:val="00242B3C"/>
    <w:rsid w:val="00244461"/>
    <w:rsid w:val="0024759E"/>
    <w:rsid w:val="00250209"/>
    <w:rsid w:val="002504D9"/>
    <w:rsid w:val="00251AAB"/>
    <w:rsid w:val="00252187"/>
    <w:rsid w:val="002545CF"/>
    <w:rsid w:val="00256127"/>
    <w:rsid w:val="00256363"/>
    <w:rsid w:val="00256E3C"/>
    <w:rsid w:val="002639CA"/>
    <w:rsid w:val="00264562"/>
    <w:rsid w:val="00265053"/>
    <w:rsid w:val="00266333"/>
    <w:rsid w:val="002663CD"/>
    <w:rsid w:val="00266B31"/>
    <w:rsid w:val="00267F6B"/>
    <w:rsid w:val="0027096B"/>
    <w:rsid w:val="00271FFA"/>
    <w:rsid w:val="00272EE4"/>
    <w:rsid w:val="00274AAB"/>
    <w:rsid w:val="00275439"/>
    <w:rsid w:val="002801E5"/>
    <w:rsid w:val="0028140C"/>
    <w:rsid w:val="00282AF1"/>
    <w:rsid w:val="00283AF2"/>
    <w:rsid w:val="00284B35"/>
    <w:rsid w:val="00285F47"/>
    <w:rsid w:val="00292D96"/>
    <w:rsid w:val="00293540"/>
    <w:rsid w:val="00294DF2"/>
    <w:rsid w:val="00295B82"/>
    <w:rsid w:val="00296693"/>
    <w:rsid w:val="002A09A9"/>
    <w:rsid w:val="002A20A5"/>
    <w:rsid w:val="002A2161"/>
    <w:rsid w:val="002A2684"/>
    <w:rsid w:val="002A325A"/>
    <w:rsid w:val="002A329A"/>
    <w:rsid w:val="002A35FD"/>
    <w:rsid w:val="002A4000"/>
    <w:rsid w:val="002A4FDF"/>
    <w:rsid w:val="002A57A6"/>
    <w:rsid w:val="002A766D"/>
    <w:rsid w:val="002B0DFD"/>
    <w:rsid w:val="002B2258"/>
    <w:rsid w:val="002B6542"/>
    <w:rsid w:val="002B7635"/>
    <w:rsid w:val="002B79EC"/>
    <w:rsid w:val="002C0F9E"/>
    <w:rsid w:val="002C3CE2"/>
    <w:rsid w:val="002C6EA0"/>
    <w:rsid w:val="002C709A"/>
    <w:rsid w:val="002D110F"/>
    <w:rsid w:val="002D1350"/>
    <w:rsid w:val="002D2006"/>
    <w:rsid w:val="002D3475"/>
    <w:rsid w:val="002D407B"/>
    <w:rsid w:val="002D41F1"/>
    <w:rsid w:val="002D615D"/>
    <w:rsid w:val="002E0E3C"/>
    <w:rsid w:val="002E11A5"/>
    <w:rsid w:val="002E3119"/>
    <w:rsid w:val="002E313E"/>
    <w:rsid w:val="002E444B"/>
    <w:rsid w:val="002E7778"/>
    <w:rsid w:val="002F16B2"/>
    <w:rsid w:val="002F1990"/>
    <w:rsid w:val="002F1C1C"/>
    <w:rsid w:val="002F20BE"/>
    <w:rsid w:val="002F2804"/>
    <w:rsid w:val="002F2CE9"/>
    <w:rsid w:val="002F5C19"/>
    <w:rsid w:val="002F66F4"/>
    <w:rsid w:val="002F6D7A"/>
    <w:rsid w:val="00300406"/>
    <w:rsid w:val="00301E00"/>
    <w:rsid w:val="00301EC1"/>
    <w:rsid w:val="00302DC7"/>
    <w:rsid w:val="00303122"/>
    <w:rsid w:val="00305CA0"/>
    <w:rsid w:val="0031080B"/>
    <w:rsid w:val="003118E3"/>
    <w:rsid w:val="00313857"/>
    <w:rsid w:val="003138CD"/>
    <w:rsid w:val="00313CFB"/>
    <w:rsid w:val="003148C3"/>
    <w:rsid w:val="00314F47"/>
    <w:rsid w:val="003164DA"/>
    <w:rsid w:val="003225C9"/>
    <w:rsid w:val="003228C8"/>
    <w:rsid w:val="0032484D"/>
    <w:rsid w:val="00325B9A"/>
    <w:rsid w:val="00326E64"/>
    <w:rsid w:val="0032744A"/>
    <w:rsid w:val="0033052A"/>
    <w:rsid w:val="003306C1"/>
    <w:rsid w:val="00331090"/>
    <w:rsid w:val="00333482"/>
    <w:rsid w:val="00333752"/>
    <w:rsid w:val="00333C58"/>
    <w:rsid w:val="00334C32"/>
    <w:rsid w:val="00335431"/>
    <w:rsid w:val="00335881"/>
    <w:rsid w:val="003361B0"/>
    <w:rsid w:val="00336880"/>
    <w:rsid w:val="00336C49"/>
    <w:rsid w:val="003405F5"/>
    <w:rsid w:val="00342E52"/>
    <w:rsid w:val="0034449C"/>
    <w:rsid w:val="0034629F"/>
    <w:rsid w:val="00346ED7"/>
    <w:rsid w:val="003501E2"/>
    <w:rsid w:val="00350273"/>
    <w:rsid w:val="00350DDE"/>
    <w:rsid w:val="0035113D"/>
    <w:rsid w:val="0035320A"/>
    <w:rsid w:val="00354AE2"/>
    <w:rsid w:val="00354CBA"/>
    <w:rsid w:val="00355322"/>
    <w:rsid w:val="003563DA"/>
    <w:rsid w:val="003601A8"/>
    <w:rsid w:val="003631DF"/>
    <w:rsid w:val="003636BF"/>
    <w:rsid w:val="0036646D"/>
    <w:rsid w:val="003676F6"/>
    <w:rsid w:val="00370E32"/>
    <w:rsid w:val="00373150"/>
    <w:rsid w:val="00376057"/>
    <w:rsid w:val="0037679E"/>
    <w:rsid w:val="00376B74"/>
    <w:rsid w:val="00377647"/>
    <w:rsid w:val="00382077"/>
    <w:rsid w:val="00382507"/>
    <w:rsid w:val="00382DBC"/>
    <w:rsid w:val="00382EE9"/>
    <w:rsid w:val="003833ED"/>
    <w:rsid w:val="003835D0"/>
    <w:rsid w:val="0038505C"/>
    <w:rsid w:val="003862F6"/>
    <w:rsid w:val="00387EC3"/>
    <w:rsid w:val="00390A1D"/>
    <w:rsid w:val="00391B61"/>
    <w:rsid w:val="0039253D"/>
    <w:rsid w:val="003937BC"/>
    <w:rsid w:val="00393F66"/>
    <w:rsid w:val="00396F59"/>
    <w:rsid w:val="003974F0"/>
    <w:rsid w:val="003A0982"/>
    <w:rsid w:val="003A1720"/>
    <w:rsid w:val="003A1755"/>
    <w:rsid w:val="003A3031"/>
    <w:rsid w:val="003A4660"/>
    <w:rsid w:val="003A5EF1"/>
    <w:rsid w:val="003A6933"/>
    <w:rsid w:val="003B06A6"/>
    <w:rsid w:val="003B2A62"/>
    <w:rsid w:val="003B2EC1"/>
    <w:rsid w:val="003B5557"/>
    <w:rsid w:val="003B6194"/>
    <w:rsid w:val="003B6448"/>
    <w:rsid w:val="003C02A7"/>
    <w:rsid w:val="003C3DC6"/>
    <w:rsid w:val="003C4884"/>
    <w:rsid w:val="003C4A5C"/>
    <w:rsid w:val="003C4B7D"/>
    <w:rsid w:val="003D13B0"/>
    <w:rsid w:val="003D30CA"/>
    <w:rsid w:val="003D317F"/>
    <w:rsid w:val="003D3712"/>
    <w:rsid w:val="003D4211"/>
    <w:rsid w:val="003D521F"/>
    <w:rsid w:val="003D594A"/>
    <w:rsid w:val="003D6642"/>
    <w:rsid w:val="003E35A6"/>
    <w:rsid w:val="003E5C70"/>
    <w:rsid w:val="003F1F68"/>
    <w:rsid w:val="003F259C"/>
    <w:rsid w:val="003F4701"/>
    <w:rsid w:val="00404A39"/>
    <w:rsid w:val="00407D1D"/>
    <w:rsid w:val="004135FD"/>
    <w:rsid w:val="00415A3B"/>
    <w:rsid w:val="0041718A"/>
    <w:rsid w:val="00421689"/>
    <w:rsid w:val="00422001"/>
    <w:rsid w:val="00422440"/>
    <w:rsid w:val="00422733"/>
    <w:rsid w:val="0042378C"/>
    <w:rsid w:val="004239A8"/>
    <w:rsid w:val="00423A7E"/>
    <w:rsid w:val="00423DB8"/>
    <w:rsid w:val="004245B7"/>
    <w:rsid w:val="004252F3"/>
    <w:rsid w:val="004259ED"/>
    <w:rsid w:val="00426340"/>
    <w:rsid w:val="00430778"/>
    <w:rsid w:val="004331EC"/>
    <w:rsid w:val="0043336C"/>
    <w:rsid w:val="004339B2"/>
    <w:rsid w:val="0043601E"/>
    <w:rsid w:val="00436FA8"/>
    <w:rsid w:val="00442B48"/>
    <w:rsid w:val="00443CEF"/>
    <w:rsid w:val="00443E31"/>
    <w:rsid w:val="00444AE9"/>
    <w:rsid w:val="00445F20"/>
    <w:rsid w:val="00446004"/>
    <w:rsid w:val="00446930"/>
    <w:rsid w:val="004510F5"/>
    <w:rsid w:val="00453DF9"/>
    <w:rsid w:val="00453FFD"/>
    <w:rsid w:val="0045550A"/>
    <w:rsid w:val="0045605D"/>
    <w:rsid w:val="0045641D"/>
    <w:rsid w:val="0045754C"/>
    <w:rsid w:val="00457CA5"/>
    <w:rsid w:val="00463247"/>
    <w:rsid w:val="0046364B"/>
    <w:rsid w:val="00464DBD"/>
    <w:rsid w:val="00466769"/>
    <w:rsid w:val="00466795"/>
    <w:rsid w:val="00466A2A"/>
    <w:rsid w:val="00466C72"/>
    <w:rsid w:val="004670A3"/>
    <w:rsid w:val="0046767B"/>
    <w:rsid w:val="00467C4E"/>
    <w:rsid w:val="0047035D"/>
    <w:rsid w:val="00470864"/>
    <w:rsid w:val="0047378C"/>
    <w:rsid w:val="00473E3D"/>
    <w:rsid w:val="0047458A"/>
    <w:rsid w:val="00475545"/>
    <w:rsid w:val="004762E4"/>
    <w:rsid w:val="004768A8"/>
    <w:rsid w:val="00482068"/>
    <w:rsid w:val="004833A5"/>
    <w:rsid w:val="004837E7"/>
    <w:rsid w:val="00483FED"/>
    <w:rsid w:val="0048578E"/>
    <w:rsid w:val="004857D4"/>
    <w:rsid w:val="00490FEA"/>
    <w:rsid w:val="00493054"/>
    <w:rsid w:val="004944BD"/>
    <w:rsid w:val="004A0DFB"/>
    <w:rsid w:val="004A1F0C"/>
    <w:rsid w:val="004A408F"/>
    <w:rsid w:val="004A5BE9"/>
    <w:rsid w:val="004A7933"/>
    <w:rsid w:val="004B205B"/>
    <w:rsid w:val="004B2E01"/>
    <w:rsid w:val="004B58C5"/>
    <w:rsid w:val="004B65A2"/>
    <w:rsid w:val="004B6BD7"/>
    <w:rsid w:val="004C3552"/>
    <w:rsid w:val="004C5E54"/>
    <w:rsid w:val="004D0AB7"/>
    <w:rsid w:val="004D0E07"/>
    <w:rsid w:val="004D5EF6"/>
    <w:rsid w:val="004D609A"/>
    <w:rsid w:val="004D642B"/>
    <w:rsid w:val="004E08FE"/>
    <w:rsid w:val="004E20FF"/>
    <w:rsid w:val="004E2E1B"/>
    <w:rsid w:val="004E38D2"/>
    <w:rsid w:val="004E3EF7"/>
    <w:rsid w:val="004E4E72"/>
    <w:rsid w:val="004E51A3"/>
    <w:rsid w:val="004E67B0"/>
    <w:rsid w:val="004E7D9B"/>
    <w:rsid w:val="004F0C12"/>
    <w:rsid w:val="004F2E29"/>
    <w:rsid w:val="004F34D4"/>
    <w:rsid w:val="004F367B"/>
    <w:rsid w:val="004F664A"/>
    <w:rsid w:val="004F672D"/>
    <w:rsid w:val="004F7BB5"/>
    <w:rsid w:val="00501EEB"/>
    <w:rsid w:val="00503D6A"/>
    <w:rsid w:val="00507262"/>
    <w:rsid w:val="00510571"/>
    <w:rsid w:val="00510A0F"/>
    <w:rsid w:val="00510B32"/>
    <w:rsid w:val="00512E12"/>
    <w:rsid w:val="005132E7"/>
    <w:rsid w:val="00513DC1"/>
    <w:rsid w:val="005142FF"/>
    <w:rsid w:val="00515865"/>
    <w:rsid w:val="0051736A"/>
    <w:rsid w:val="00521321"/>
    <w:rsid w:val="00522F1D"/>
    <w:rsid w:val="00524C33"/>
    <w:rsid w:val="005251A1"/>
    <w:rsid w:val="0052542E"/>
    <w:rsid w:val="00525842"/>
    <w:rsid w:val="00531A6B"/>
    <w:rsid w:val="00531B51"/>
    <w:rsid w:val="005335E4"/>
    <w:rsid w:val="00534257"/>
    <w:rsid w:val="00534C4E"/>
    <w:rsid w:val="00537108"/>
    <w:rsid w:val="00540C88"/>
    <w:rsid w:val="00541642"/>
    <w:rsid w:val="00541778"/>
    <w:rsid w:val="005426E3"/>
    <w:rsid w:val="00544031"/>
    <w:rsid w:val="005441B5"/>
    <w:rsid w:val="00547105"/>
    <w:rsid w:val="0055204F"/>
    <w:rsid w:val="00553E11"/>
    <w:rsid w:val="00554E3C"/>
    <w:rsid w:val="005569D8"/>
    <w:rsid w:val="00562B47"/>
    <w:rsid w:val="00564B21"/>
    <w:rsid w:val="00565161"/>
    <w:rsid w:val="00566606"/>
    <w:rsid w:val="00570EEC"/>
    <w:rsid w:val="0057488B"/>
    <w:rsid w:val="00574AA5"/>
    <w:rsid w:val="005751ED"/>
    <w:rsid w:val="00577C95"/>
    <w:rsid w:val="00580986"/>
    <w:rsid w:val="005818CC"/>
    <w:rsid w:val="00585AAC"/>
    <w:rsid w:val="00585B79"/>
    <w:rsid w:val="005863ED"/>
    <w:rsid w:val="00587A88"/>
    <w:rsid w:val="00590826"/>
    <w:rsid w:val="005920E9"/>
    <w:rsid w:val="00593506"/>
    <w:rsid w:val="00593CB9"/>
    <w:rsid w:val="00594F42"/>
    <w:rsid w:val="005966C5"/>
    <w:rsid w:val="005A06FB"/>
    <w:rsid w:val="005A1344"/>
    <w:rsid w:val="005A1D4B"/>
    <w:rsid w:val="005A208D"/>
    <w:rsid w:val="005A265F"/>
    <w:rsid w:val="005A3309"/>
    <w:rsid w:val="005A3989"/>
    <w:rsid w:val="005A7887"/>
    <w:rsid w:val="005B3A43"/>
    <w:rsid w:val="005B3B75"/>
    <w:rsid w:val="005B4156"/>
    <w:rsid w:val="005B4380"/>
    <w:rsid w:val="005B57BF"/>
    <w:rsid w:val="005B5FBC"/>
    <w:rsid w:val="005C0EB6"/>
    <w:rsid w:val="005C15C8"/>
    <w:rsid w:val="005C22AD"/>
    <w:rsid w:val="005C4263"/>
    <w:rsid w:val="005D01FD"/>
    <w:rsid w:val="005D0A14"/>
    <w:rsid w:val="005D317B"/>
    <w:rsid w:val="005D3E89"/>
    <w:rsid w:val="005D45FD"/>
    <w:rsid w:val="005E06A3"/>
    <w:rsid w:val="005E0FC6"/>
    <w:rsid w:val="005E163F"/>
    <w:rsid w:val="005E19AF"/>
    <w:rsid w:val="005E3B7E"/>
    <w:rsid w:val="005E52BA"/>
    <w:rsid w:val="005E6B4A"/>
    <w:rsid w:val="005E75A3"/>
    <w:rsid w:val="005F10E5"/>
    <w:rsid w:val="005F2428"/>
    <w:rsid w:val="005F2E77"/>
    <w:rsid w:val="005F4505"/>
    <w:rsid w:val="005F5C64"/>
    <w:rsid w:val="005F63CA"/>
    <w:rsid w:val="006004E9"/>
    <w:rsid w:val="00602129"/>
    <w:rsid w:val="00603314"/>
    <w:rsid w:val="00603B42"/>
    <w:rsid w:val="006047FD"/>
    <w:rsid w:val="0061002A"/>
    <w:rsid w:val="00610224"/>
    <w:rsid w:val="00610EDA"/>
    <w:rsid w:val="006136DC"/>
    <w:rsid w:val="006151BB"/>
    <w:rsid w:val="00616916"/>
    <w:rsid w:val="00617176"/>
    <w:rsid w:val="00617E19"/>
    <w:rsid w:val="0062110F"/>
    <w:rsid w:val="00622E68"/>
    <w:rsid w:val="006233AC"/>
    <w:rsid w:val="00633B3F"/>
    <w:rsid w:val="00635F02"/>
    <w:rsid w:val="006361C3"/>
    <w:rsid w:val="006374B8"/>
    <w:rsid w:val="006403EA"/>
    <w:rsid w:val="006417B8"/>
    <w:rsid w:val="00642127"/>
    <w:rsid w:val="00643FEA"/>
    <w:rsid w:val="00644FE5"/>
    <w:rsid w:val="00646DF7"/>
    <w:rsid w:val="00646F26"/>
    <w:rsid w:val="006472B1"/>
    <w:rsid w:val="00647ADE"/>
    <w:rsid w:val="00650588"/>
    <w:rsid w:val="00652F27"/>
    <w:rsid w:val="00653026"/>
    <w:rsid w:val="00653027"/>
    <w:rsid w:val="00653B01"/>
    <w:rsid w:val="00654C81"/>
    <w:rsid w:val="00654DB4"/>
    <w:rsid w:val="0065558F"/>
    <w:rsid w:val="0065727D"/>
    <w:rsid w:val="006609F4"/>
    <w:rsid w:val="00662EC2"/>
    <w:rsid w:val="00664383"/>
    <w:rsid w:val="0066724E"/>
    <w:rsid w:val="00670CD7"/>
    <w:rsid w:val="00672C52"/>
    <w:rsid w:val="00672CF7"/>
    <w:rsid w:val="00677D7D"/>
    <w:rsid w:val="00680A53"/>
    <w:rsid w:val="006810D5"/>
    <w:rsid w:val="0068449B"/>
    <w:rsid w:val="00684A99"/>
    <w:rsid w:val="0068505F"/>
    <w:rsid w:val="006850F4"/>
    <w:rsid w:val="006859FC"/>
    <w:rsid w:val="00686005"/>
    <w:rsid w:val="00687332"/>
    <w:rsid w:val="0069143B"/>
    <w:rsid w:val="00692239"/>
    <w:rsid w:val="006943F4"/>
    <w:rsid w:val="006977DA"/>
    <w:rsid w:val="006A0954"/>
    <w:rsid w:val="006A10AF"/>
    <w:rsid w:val="006A1D5B"/>
    <w:rsid w:val="006A3786"/>
    <w:rsid w:val="006A4A96"/>
    <w:rsid w:val="006A4DB2"/>
    <w:rsid w:val="006A549C"/>
    <w:rsid w:val="006A5B78"/>
    <w:rsid w:val="006A6B3F"/>
    <w:rsid w:val="006A7A4E"/>
    <w:rsid w:val="006B0BA5"/>
    <w:rsid w:val="006B10C3"/>
    <w:rsid w:val="006B255A"/>
    <w:rsid w:val="006B7963"/>
    <w:rsid w:val="006C2A4B"/>
    <w:rsid w:val="006C2BED"/>
    <w:rsid w:val="006C2F42"/>
    <w:rsid w:val="006C3837"/>
    <w:rsid w:val="006C40B3"/>
    <w:rsid w:val="006C40E7"/>
    <w:rsid w:val="006C4F09"/>
    <w:rsid w:val="006C77D6"/>
    <w:rsid w:val="006C7F26"/>
    <w:rsid w:val="006D03D7"/>
    <w:rsid w:val="006D0ADE"/>
    <w:rsid w:val="006D2700"/>
    <w:rsid w:val="006D2A41"/>
    <w:rsid w:val="006D2BA6"/>
    <w:rsid w:val="006D3B28"/>
    <w:rsid w:val="006D46D3"/>
    <w:rsid w:val="006D4D1B"/>
    <w:rsid w:val="006D530B"/>
    <w:rsid w:val="006D5DD5"/>
    <w:rsid w:val="006D5EC7"/>
    <w:rsid w:val="006D688F"/>
    <w:rsid w:val="006E047D"/>
    <w:rsid w:val="006E1221"/>
    <w:rsid w:val="006E3000"/>
    <w:rsid w:val="006E52C1"/>
    <w:rsid w:val="006E6AC2"/>
    <w:rsid w:val="006E70AA"/>
    <w:rsid w:val="006E76C4"/>
    <w:rsid w:val="006F05FC"/>
    <w:rsid w:val="006F3A59"/>
    <w:rsid w:val="006F4163"/>
    <w:rsid w:val="006F5A79"/>
    <w:rsid w:val="006F5BB1"/>
    <w:rsid w:val="006F661D"/>
    <w:rsid w:val="00702B2E"/>
    <w:rsid w:val="00705ADD"/>
    <w:rsid w:val="007076A9"/>
    <w:rsid w:val="00707FDE"/>
    <w:rsid w:val="00710A1D"/>
    <w:rsid w:val="00710DAC"/>
    <w:rsid w:val="00711325"/>
    <w:rsid w:val="007113B5"/>
    <w:rsid w:val="0071298D"/>
    <w:rsid w:val="00712EAE"/>
    <w:rsid w:val="0071611F"/>
    <w:rsid w:val="00716C93"/>
    <w:rsid w:val="00717BE2"/>
    <w:rsid w:val="00720DC9"/>
    <w:rsid w:val="00721217"/>
    <w:rsid w:val="00724FCC"/>
    <w:rsid w:val="007257B8"/>
    <w:rsid w:val="00725AF8"/>
    <w:rsid w:val="00726990"/>
    <w:rsid w:val="00726B68"/>
    <w:rsid w:val="00727467"/>
    <w:rsid w:val="00727AF1"/>
    <w:rsid w:val="007325BB"/>
    <w:rsid w:val="007326BA"/>
    <w:rsid w:val="0073444E"/>
    <w:rsid w:val="007344B1"/>
    <w:rsid w:val="00734F4F"/>
    <w:rsid w:val="0073573E"/>
    <w:rsid w:val="00741072"/>
    <w:rsid w:val="00742423"/>
    <w:rsid w:val="00742ECC"/>
    <w:rsid w:val="0074300C"/>
    <w:rsid w:val="00743C3E"/>
    <w:rsid w:val="00744EDA"/>
    <w:rsid w:val="007450DB"/>
    <w:rsid w:val="007477A0"/>
    <w:rsid w:val="007506FD"/>
    <w:rsid w:val="0075080F"/>
    <w:rsid w:val="00751E2E"/>
    <w:rsid w:val="0075305A"/>
    <w:rsid w:val="007535FB"/>
    <w:rsid w:val="00756EDC"/>
    <w:rsid w:val="0076059D"/>
    <w:rsid w:val="00764297"/>
    <w:rsid w:val="007647D9"/>
    <w:rsid w:val="007666D7"/>
    <w:rsid w:val="00766EC3"/>
    <w:rsid w:val="00767EA0"/>
    <w:rsid w:val="00772479"/>
    <w:rsid w:val="00772B66"/>
    <w:rsid w:val="00773961"/>
    <w:rsid w:val="00774FDC"/>
    <w:rsid w:val="007757D7"/>
    <w:rsid w:val="0077605D"/>
    <w:rsid w:val="007775CA"/>
    <w:rsid w:val="00780EFD"/>
    <w:rsid w:val="00781626"/>
    <w:rsid w:val="00783D6C"/>
    <w:rsid w:val="00783F0D"/>
    <w:rsid w:val="007843FA"/>
    <w:rsid w:val="00784E5F"/>
    <w:rsid w:val="00785F82"/>
    <w:rsid w:val="007918D9"/>
    <w:rsid w:val="00793DE2"/>
    <w:rsid w:val="007A0669"/>
    <w:rsid w:val="007A0BF3"/>
    <w:rsid w:val="007A29C1"/>
    <w:rsid w:val="007A45F4"/>
    <w:rsid w:val="007A4643"/>
    <w:rsid w:val="007A615F"/>
    <w:rsid w:val="007A723B"/>
    <w:rsid w:val="007B1A4A"/>
    <w:rsid w:val="007B302B"/>
    <w:rsid w:val="007B3270"/>
    <w:rsid w:val="007B3C74"/>
    <w:rsid w:val="007B418D"/>
    <w:rsid w:val="007B55CA"/>
    <w:rsid w:val="007B55F7"/>
    <w:rsid w:val="007B64C4"/>
    <w:rsid w:val="007B699C"/>
    <w:rsid w:val="007B6C31"/>
    <w:rsid w:val="007C293D"/>
    <w:rsid w:val="007C391E"/>
    <w:rsid w:val="007C498A"/>
    <w:rsid w:val="007C5938"/>
    <w:rsid w:val="007C6154"/>
    <w:rsid w:val="007C6A28"/>
    <w:rsid w:val="007C6BBD"/>
    <w:rsid w:val="007C761C"/>
    <w:rsid w:val="007D0AA5"/>
    <w:rsid w:val="007D1BC5"/>
    <w:rsid w:val="007D2246"/>
    <w:rsid w:val="007D5492"/>
    <w:rsid w:val="007D6AF8"/>
    <w:rsid w:val="007D7250"/>
    <w:rsid w:val="007D78D7"/>
    <w:rsid w:val="007D7B5A"/>
    <w:rsid w:val="007E03EB"/>
    <w:rsid w:val="007E2499"/>
    <w:rsid w:val="007E4AB2"/>
    <w:rsid w:val="007E4D8D"/>
    <w:rsid w:val="007E61C8"/>
    <w:rsid w:val="007E6D5E"/>
    <w:rsid w:val="007F3571"/>
    <w:rsid w:val="007F4F95"/>
    <w:rsid w:val="007F7B0D"/>
    <w:rsid w:val="0080270C"/>
    <w:rsid w:val="00802CA5"/>
    <w:rsid w:val="0080355E"/>
    <w:rsid w:val="00805312"/>
    <w:rsid w:val="00805B03"/>
    <w:rsid w:val="00807B20"/>
    <w:rsid w:val="00810BDB"/>
    <w:rsid w:val="00810F99"/>
    <w:rsid w:val="00811D5A"/>
    <w:rsid w:val="00813629"/>
    <w:rsid w:val="008140D3"/>
    <w:rsid w:val="00814ECF"/>
    <w:rsid w:val="008153E4"/>
    <w:rsid w:val="00815475"/>
    <w:rsid w:val="008157C0"/>
    <w:rsid w:val="00817B21"/>
    <w:rsid w:val="00817E73"/>
    <w:rsid w:val="008212EB"/>
    <w:rsid w:val="00822888"/>
    <w:rsid w:val="008241FF"/>
    <w:rsid w:val="008276BF"/>
    <w:rsid w:val="00827928"/>
    <w:rsid w:val="00830987"/>
    <w:rsid w:val="00830A77"/>
    <w:rsid w:val="00832B9D"/>
    <w:rsid w:val="00833049"/>
    <w:rsid w:val="00834387"/>
    <w:rsid w:val="00842B5D"/>
    <w:rsid w:val="008431E1"/>
    <w:rsid w:val="00843CC8"/>
    <w:rsid w:val="008444DC"/>
    <w:rsid w:val="00844A77"/>
    <w:rsid w:val="008508AB"/>
    <w:rsid w:val="00850E2B"/>
    <w:rsid w:val="00851474"/>
    <w:rsid w:val="0085300A"/>
    <w:rsid w:val="0085366E"/>
    <w:rsid w:val="00853FD8"/>
    <w:rsid w:val="00856F44"/>
    <w:rsid w:val="00861015"/>
    <w:rsid w:val="008653E0"/>
    <w:rsid w:val="00866332"/>
    <w:rsid w:val="00866DA1"/>
    <w:rsid w:val="0086711F"/>
    <w:rsid w:val="0087184E"/>
    <w:rsid w:val="00871FCB"/>
    <w:rsid w:val="008725CC"/>
    <w:rsid w:val="00874938"/>
    <w:rsid w:val="00875968"/>
    <w:rsid w:val="008770F9"/>
    <w:rsid w:val="00881731"/>
    <w:rsid w:val="00883E81"/>
    <w:rsid w:val="00884CC2"/>
    <w:rsid w:val="00884F9A"/>
    <w:rsid w:val="0088617E"/>
    <w:rsid w:val="00887A78"/>
    <w:rsid w:val="00892257"/>
    <w:rsid w:val="00892C88"/>
    <w:rsid w:val="00892D79"/>
    <w:rsid w:val="008974F4"/>
    <w:rsid w:val="008A0257"/>
    <w:rsid w:val="008A0A1A"/>
    <w:rsid w:val="008A45DC"/>
    <w:rsid w:val="008A4C65"/>
    <w:rsid w:val="008A5C75"/>
    <w:rsid w:val="008A7490"/>
    <w:rsid w:val="008B27CA"/>
    <w:rsid w:val="008B528F"/>
    <w:rsid w:val="008B52C6"/>
    <w:rsid w:val="008B57AE"/>
    <w:rsid w:val="008C06FF"/>
    <w:rsid w:val="008C0975"/>
    <w:rsid w:val="008C0B00"/>
    <w:rsid w:val="008C1989"/>
    <w:rsid w:val="008C29DC"/>
    <w:rsid w:val="008C4BC3"/>
    <w:rsid w:val="008C5008"/>
    <w:rsid w:val="008C6869"/>
    <w:rsid w:val="008D057D"/>
    <w:rsid w:val="008D32C4"/>
    <w:rsid w:val="008D3A71"/>
    <w:rsid w:val="008D4287"/>
    <w:rsid w:val="008D4B73"/>
    <w:rsid w:val="008D4CF6"/>
    <w:rsid w:val="008D6295"/>
    <w:rsid w:val="008D6E55"/>
    <w:rsid w:val="008D7059"/>
    <w:rsid w:val="008D72D8"/>
    <w:rsid w:val="008D7F2A"/>
    <w:rsid w:val="008E1048"/>
    <w:rsid w:val="008E2DF8"/>
    <w:rsid w:val="008E4510"/>
    <w:rsid w:val="008E4D70"/>
    <w:rsid w:val="008E5C97"/>
    <w:rsid w:val="008E7C89"/>
    <w:rsid w:val="008F02D9"/>
    <w:rsid w:val="008F0ED7"/>
    <w:rsid w:val="008F0F51"/>
    <w:rsid w:val="008F2E58"/>
    <w:rsid w:val="008F3B38"/>
    <w:rsid w:val="008F4A47"/>
    <w:rsid w:val="00901027"/>
    <w:rsid w:val="0090111F"/>
    <w:rsid w:val="0090465F"/>
    <w:rsid w:val="00904B60"/>
    <w:rsid w:val="00904D0C"/>
    <w:rsid w:val="00905F1A"/>
    <w:rsid w:val="009109FF"/>
    <w:rsid w:val="00913E5D"/>
    <w:rsid w:val="0091739B"/>
    <w:rsid w:val="00920103"/>
    <w:rsid w:val="009210C3"/>
    <w:rsid w:val="0092151A"/>
    <w:rsid w:val="00921DA6"/>
    <w:rsid w:val="00922532"/>
    <w:rsid w:val="00924E0B"/>
    <w:rsid w:val="0092538E"/>
    <w:rsid w:val="00926D0E"/>
    <w:rsid w:val="00926D5A"/>
    <w:rsid w:val="009326C3"/>
    <w:rsid w:val="0093351B"/>
    <w:rsid w:val="0093572E"/>
    <w:rsid w:val="00935EF1"/>
    <w:rsid w:val="00936037"/>
    <w:rsid w:val="00936F5E"/>
    <w:rsid w:val="0094130D"/>
    <w:rsid w:val="009422F3"/>
    <w:rsid w:val="00942B75"/>
    <w:rsid w:val="00943D59"/>
    <w:rsid w:val="00943FA2"/>
    <w:rsid w:val="00944330"/>
    <w:rsid w:val="00946C22"/>
    <w:rsid w:val="00950430"/>
    <w:rsid w:val="009602EC"/>
    <w:rsid w:val="00960492"/>
    <w:rsid w:val="00961470"/>
    <w:rsid w:val="00961B60"/>
    <w:rsid w:val="00963C8B"/>
    <w:rsid w:val="009667E6"/>
    <w:rsid w:val="0096747F"/>
    <w:rsid w:val="00972D87"/>
    <w:rsid w:val="00973B82"/>
    <w:rsid w:val="00973C55"/>
    <w:rsid w:val="0097441C"/>
    <w:rsid w:val="00975B73"/>
    <w:rsid w:val="0097623E"/>
    <w:rsid w:val="009767E1"/>
    <w:rsid w:val="00980821"/>
    <w:rsid w:val="00980CC8"/>
    <w:rsid w:val="00980F42"/>
    <w:rsid w:val="00983B6E"/>
    <w:rsid w:val="009860E9"/>
    <w:rsid w:val="00991CE1"/>
    <w:rsid w:val="00992426"/>
    <w:rsid w:val="00992B2B"/>
    <w:rsid w:val="00994FD8"/>
    <w:rsid w:val="009950C6"/>
    <w:rsid w:val="00995135"/>
    <w:rsid w:val="009959A6"/>
    <w:rsid w:val="009973D6"/>
    <w:rsid w:val="009A0266"/>
    <w:rsid w:val="009A0478"/>
    <w:rsid w:val="009A1720"/>
    <w:rsid w:val="009A192D"/>
    <w:rsid w:val="009A19A8"/>
    <w:rsid w:val="009A62A2"/>
    <w:rsid w:val="009A7E78"/>
    <w:rsid w:val="009A7FB8"/>
    <w:rsid w:val="009B2EA9"/>
    <w:rsid w:val="009B3732"/>
    <w:rsid w:val="009B4C56"/>
    <w:rsid w:val="009B5C5C"/>
    <w:rsid w:val="009B6724"/>
    <w:rsid w:val="009B733D"/>
    <w:rsid w:val="009C0A1A"/>
    <w:rsid w:val="009C156E"/>
    <w:rsid w:val="009C1B3D"/>
    <w:rsid w:val="009C3361"/>
    <w:rsid w:val="009C5184"/>
    <w:rsid w:val="009D2238"/>
    <w:rsid w:val="009D34B6"/>
    <w:rsid w:val="009D3E85"/>
    <w:rsid w:val="009D48C0"/>
    <w:rsid w:val="009D4EF8"/>
    <w:rsid w:val="009D57A2"/>
    <w:rsid w:val="009D5C6C"/>
    <w:rsid w:val="009D5D71"/>
    <w:rsid w:val="009D7914"/>
    <w:rsid w:val="009D7FAB"/>
    <w:rsid w:val="009E1D71"/>
    <w:rsid w:val="009E2157"/>
    <w:rsid w:val="009E53C5"/>
    <w:rsid w:val="009E72B5"/>
    <w:rsid w:val="009F3268"/>
    <w:rsid w:val="009F59B5"/>
    <w:rsid w:val="009F65C5"/>
    <w:rsid w:val="009F6DFE"/>
    <w:rsid w:val="009F7CD2"/>
    <w:rsid w:val="00A02F21"/>
    <w:rsid w:val="00A0407C"/>
    <w:rsid w:val="00A04108"/>
    <w:rsid w:val="00A06557"/>
    <w:rsid w:val="00A066D9"/>
    <w:rsid w:val="00A06E71"/>
    <w:rsid w:val="00A125CD"/>
    <w:rsid w:val="00A14C2D"/>
    <w:rsid w:val="00A1532E"/>
    <w:rsid w:val="00A15928"/>
    <w:rsid w:val="00A15A91"/>
    <w:rsid w:val="00A16BE0"/>
    <w:rsid w:val="00A1748D"/>
    <w:rsid w:val="00A17C23"/>
    <w:rsid w:val="00A2049B"/>
    <w:rsid w:val="00A22796"/>
    <w:rsid w:val="00A23322"/>
    <w:rsid w:val="00A2383E"/>
    <w:rsid w:val="00A2582C"/>
    <w:rsid w:val="00A264E7"/>
    <w:rsid w:val="00A26E36"/>
    <w:rsid w:val="00A27748"/>
    <w:rsid w:val="00A3044E"/>
    <w:rsid w:val="00A30EE4"/>
    <w:rsid w:val="00A3647A"/>
    <w:rsid w:val="00A369B4"/>
    <w:rsid w:val="00A36FA2"/>
    <w:rsid w:val="00A36FC4"/>
    <w:rsid w:val="00A3730B"/>
    <w:rsid w:val="00A40265"/>
    <w:rsid w:val="00A42475"/>
    <w:rsid w:val="00A42DBC"/>
    <w:rsid w:val="00A432FE"/>
    <w:rsid w:val="00A4371A"/>
    <w:rsid w:val="00A4433D"/>
    <w:rsid w:val="00A44C1A"/>
    <w:rsid w:val="00A4700A"/>
    <w:rsid w:val="00A47C01"/>
    <w:rsid w:val="00A50E07"/>
    <w:rsid w:val="00A51FAF"/>
    <w:rsid w:val="00A547F3"/>
    <w:rsid w:val="00A55B72"/>
    <w:rsid w:val="00A572B8"/>
    <w:rsid w:val="00A5750D"/>
    <w:rsid w:val="00A577BD"/>
    <w:rsid w:val="00A60276"/>
    <w:rsid w:val="00A60621"/>
    <w:rsid w:val="00A64921"/>
    <w:rsid w:val="00A677DD"/>
    <w:rsid w:val="00A67DB8"/>
    <w:rsid w:val="00A70AFE"/>
    <w:rsid w:val="00A70ED4"/>
    <w:rsid w:val="00A711EC"/>
    <w:rsid w:val="00A73B1E"/>
    <w:rsid w:val="00A747EA"/>
    <w:rsid w:val="00A75851"/>
    <w:rsid w:val="00A76EBF"/>
    <w:rsid w:val="00A81A2A"/>
    <w:rsid w:val="00A828DC"/>
    <w:rsid w:val="00A82CCB"/>
    <w:rsid w:val="00A84E10"/>
    <w:rsid w:val="00A875A4"/>
    <w:rsid w:val="00A8762E"/>
    <w:rsid w:val="00A90EBF"/>
    <w:rsid w:val="00A92148"/>
    <w:rsid w:val="00A9229B"/>
    <w:rsid w:val="00A92937"/>
    <w:rsid w:val="00A9336D"/>
    <w:rsid w:val="00A93FDF"/>
    <w:rsid w:val="00A95D04"/>
    <w:rsid w:val="00AA00A8"/>
    <w:rsid w:val="00AA156B"/>
    <w:rsid w:val="00AA5019"/>
    <w:rsid w:val="00AA5241"/>
    <w:rsid w:val="00AA7177"/>
    <w:rsid w:val="00AB2F4A"/>
    <w:rsid w:val="00AB3E6F"/>
    <w:rsid w:val="00AB6B1F"/>
    <w:rsid w:val="00AB72F5"/>
    <w:rsid w:val="00AB735D"/>
    <w:rsid w:val="00AB7CCD"/>
    <w:rsid w:val="00AC243D"/>
    <w:rsid w:val="00AC3DD8"/>
    <w:rsid w:val="00AC4134"/>
    <w:rsid w:val="00AC43A6"/>
    <w:rsid w:val="00AC6A41"/>
    <w:rsid w:val="00AC72C2"/>
    <w:rsid w:val="00AC75EE"/>
    <w:rsid w:val="00AD0A2D"/>
    <w:rsid w:val="00AD0D59"/>
    <w:rsid w:val="00AD1995"/>
    <w:rsid w:val="00AD24A7"/>
    <w:rsid w:val="00AD3C95"/>
    <w:rsid w:val="00AD6497"/>
    <w:rsid w:val="00AD68C2"/>
    <w:rsid w:val="00AE0482"/>
    <w:rsid w:val="00AE0C1D"/>
    <w:rsid w:val="00AE3330"/>
    <w:rsid w:val="00AE3639"/>
    <w:rsid w:val="00AE4B3D"/>
    <w:rsid w:val="00AE5096"/>
    <w:rsid w:val="00AE568D"/>
    <w:rsid w:val="00AE7E3D"/>
    <w:rsid w:val="00AF0379"/>
    <w:rsid w:val="00AF1D5A"/>
    <w:rsid w:val="00AF2131"/>
    <w:rsid w:val="00AF3EFE"/>
    <w:rsid w:val="00AF6C1A"/>
    <w:rsid w:val="00B003B6"/>
    <w:rsid w:val="00B0168E"/>
    <w:rsid w:val="00B05803"/>
    <w:rsid w:val="00B05850"/>
    <w:rsid w:val="00B06877"/>
    <w:rsid w:val="00B10E4A"/>
    <w:rsid w:val="00B1270E"/>
    <w:rsid w:val="00B1394F"/>
    <w:rsid w:val="00B1539F"/>
    <w:rsid w:val="00B15AD7"/>
    <w:rsid w:val="00B16719"/>
    <w:rsid w:val="00B1727F"/>
    <w:rsid w:val="00B17BA1"/>
    <w:rsid w:val="00B20FBC"/>
    <w:rsid w:val="00B23253"/>
    <w:rsid w:val="00B235CF"/>
    <w:rsid w:val="00B25A0E"/>
    <w:rsid w:val="00B307D7"/>
    <w:rsid w:val="00B343C2"/>
    <w:rsid w:val="00B3503B"/>
    <w:rsid w:val="00B35FC5"/>
    <w:rsid w:val="00B3635C"/>
    <w:rsid w:val="00B36CFC"/>
    <w:rsid w:val="00B3725F"/>
    <w:rsid w:val="00B4044D"/>
    <w:rsid w:val="00B44DEC"/>
    <w:rsid w:val="00B44F85"/>
    <w:rsid w:val="00B44FCF"/>
    <w:rsid w:val="00B45715"/>
    <w:rsid w:val="00B50B71"/>
    <w:rsid w:val="00B51479"/>
    <w:rsid w:val="00B51922"/>
    <w:rsid w:val="00B519D9"/>
    <w:rsid w:val="00B5201D"/>
    <w:rsid w:val="00B53B12"/>
    <w:rsid w:val="00B60228"/>
    <w:rsid w:val="00B61383"/>
    <w:rsid w:val="00B6221D"/>
    <w:rsid w:val="00B6264B"/>
    <w:rsid w:val="00B67DE0"/>
    <w:rsid w:val="00B710B6"/>
    <w:rsid w:val="00B72AA3"/>
    <w:rsid w:val="00B73CC1"/>
    <w:rsid w:val="00B74049"/>
    <w:rsid w:val="00B75326"/>
    <w:rsid w:val="00B818AA"/>
    <w:rsid w:val="00B818CD"/>
    <w:rsid w:val="00B81B01"/>
    <w:rsid w:val="00B81FF6"/>
    <w:rsid w:val="00B82862"/>
    <w:rsid w:val="00B828C1"/>
    <w:rsid w:val="00B82A10"/>
    <w:rsid w:val="00B84694"/>
    <w:rsid w:val="00B85542"/>
    <w:rsid w:val="00B85737"/>
    <w:rsid w:val="00B87765"/>
    <w:rsid w:val="00B9002F"/>
    <w:rsid w:val="00B91172"/>
    <w:rsid w:val="00B958C4"/>
    <w:rsid w:val="00B964DB"/>
    <w:rsid w:val="00BA04D1"/>
    <w:rsid w:val="00BA0C8B"/>
    <w:rsid w:val="00BA13ED"/>
    <w:rsid w:val="00BA5777"/>
    <w:rsid w:val="00BA6BDD"/>
    <w:rsid w:val="00BA7949"/>
    <w:rsid w:val="00BB143A"/>
    <w:rsid w:val="00BB1CBC"/>
    <w:rsid w:val="00BB3336"/>
    <w:rsid w:val="00BB36CD"/>
    <w:rsid w:val="00BB3E2C"/>
    <w:rsid w:val="00BB4F4C"/>
    <w:rsid w:val="00BB5281"/>
    <w:rsid w:val="00BB6A24"/>
    <w:rsid w:val="00BB6CDF"/>
    <w:rsid w:val="00BB6E1A"/>
    <w:rsid w:val="00BC0E36"/>
    <w:rsid w:val="00BC1535"/>
    <w:rsid w:val="00BC403B"/>
    <w:rsid w:val="00BD23FB"/>
    <w:rsid w:val="00BD5799"/>
    <w:rsid w:val="00BD62E6"/>
    <w:rsid w:val="00BD6B11"/>
    <w:rsid w:val="00BE012D"/>
    <w:rsid w:val="00BE09B4"/>
    <w:rsid w:val="00BE2BF0"/>
    <w:rsid w:val="00BE426F"/>
    <w:rsid w:val="00BE4792"/>
    <w:rsid w:val="00BE5B7B"/>
    <w:rsid w:val="00BE667F"/>
    <w:rsid w:val="00BE6C88"/>
    <w:rsid w:val="00BE6EBD"/>
    <w:rsid w:val="00BE781B"/>
    <w:rsid w:val="00BE7910"/>
    <w:rsid w:val="00BE7FC4"/>
    <w:rsid w:val="00BF0FCE"/>
    <w:rsid w:val="00BF252D"/>
    <w:rsid w:val="00BF58B5"/>
    <w:rsid w:val="00BF7161"/>
    <w:rsid w:val="00BF7FC6"/>
    <w:rsid w:val="00C00279"/>
    <w:rsid w:val="00C00746"/>
    <w:rsid w:val="00C01590"/>
    <w:rsid w:val="00C05FF4"/>
    <w:rsid w:val="00C05FF5"/>
    <w:rsid w:val="00C06259"/>
    <w:rsid w:val="00C065D5"/>
    <w:rsid w:val="00C067D2"/>
    <w:rsid w:val="00C17794"/>
    <w:rsid w:val="00C22936"/>
    <w:rsid w:val="00C2294E"/>
    <w:rsid w:val="00C22BA9"/>
    <w:rsid w:val="00C30330"/>
    <w:rsid w:val="00C31070"/>
    <w:rsid w:val="00C316C2"/>
    <w:rsid w:val="00C3214F"/>
    <w:rsid w:val="00C32DF3"/>
    <w:rsid w:val="00C34A6D"/>
    <w:rsid w:val="00C3542B"/>
    <w:rsid w:val="00C35633"/>
    <w:rsid w:val="00C356F1"/>
    <w:rsid w:val="00C35789"/>
    <w:rsid w:val="00C36E49"/>
    <w:rsid w:val="00C37992"/>
    <w:rsid w:val="00C40622"/>
    <w:rsid w:val="00C4098A"/>
    <w:rsid w:val="00C40B98"/>
    <w:rsid w:val="00C43D45"/>
    <w:rsid w:val="00C4718A"/>
    <w:rsid w:val="00C50B9F"/>
    <w:rsid w:val="00C50F64"/>
    <w:rsid w:val="00C521E7"/>
    <w:rsid w:val="00C55D05"/>
    <w:rsid w:val="00C563A7"/>
    <w:rsid w:val="00C57CE8"/>
    <w:rsid w:val="00C62DF7"/>
    <w:rsid w:val="00C62FBF"/>
    <w:rsid w:val="00C6301E"/>
    <w:rsid w:val="00C6317E"/>
    <w:rsid w:val="00C63B7F"/>
    <w:rsid w:val="00C63CA2"/>
    <w:rsid w:val="00C66032"/>
    <w:rsid w:val="00C66BA8"/>
    <w:rsid w:val="00C6716E"/>
    <w:rsid w:val="00C7095C"/>
    <w:rsid w:val="00C70D02"/>
    <w:rsid w:val="00C7432F"/>
    <w:rsid w:val="00C748A4"/>
    <w:rsid w:val="00C76FF0"/>
    <w:rsid w:val="00C779F9"/>
    <w:rsid w:val="00C815AD"/>
    <w:rsid w:val="00C8647B"/>
    <w:rsid w:val="00C87CBF"/>
    <w:rsid w:val="00C91B4D"/>
    <w:rsid w:val="00C92917"/>
    <w:rsid w:val="00C936E6"/>
    <w:rsid w:val="00C9399D"/>
    <w:rsid w:val="00C9411C"/>
    <w:rsid w:val="00C947AE"/>
    <w:rsid w:val="00C9516F"/>
    <w:rsid w:val="00C95ECD"/>
    <w:rsid w:val="00C968DF"/>
    <w:rsid w:val="00C96DEB"/>
    <w:rsid w:val="00CA0AA4"/>
    <w:rsid w:val="00CA0E18"/>
    <w:rsid w:val="00CA2D57"/>
    <w:rsid w:val="00CA2FF3"/>
    <w:rsid w:val="00CA3E15"/>
    <w:rsid w:val="00CA3E1E"/>
    <w:rsid w:val="00CA59B1"/>
    <w:rsid w:val="00CA5FD7"/>
    <w:rsid w:val="00CA6580"/>
    <w:rsid w:val="00CA68A5"/>
    <w:rsid w:val="00CB1E8E"/>
    <w:rsid w:val="00CB2042"/>
    <w:rsid w:val="00CC044A"/>
    <w:rsid w:val="00CC0B18"/>
    <w:rsid w:val="00CC2BE3"/>
    <w:rsid w:val="00CC2CE6"/>
    <w:rsid w:val="00CC4AC4"/>
    <w:rsid w:val="00CC4FFC"/>
    <w:rsid w:val="00CC5304"/>
    <w:rsid w:val="00CC5452"/>
    <w:rsid w:val="00CC5EAA"/>
    <w:rsid w:val="00CC7DFC"/>
    <w:rsid w:val="00CD04B5"/>
    <w:rsid w:val="00CD11A8"/>
    <w:rsid w:val="00CD1DFC"/>
    <w:rsid w:val="00CD223A"/>
    <w:rsid w:val="00CD3F28"/>
    <w:rsid w:val="00CD3FD9"/>
    <w:rsid w:val="00CD3FF8"/>
    <w:rsid w:val="00CE0EC3"/>
    <w:rsid w:val="00CE2979"/>
    <w:rsid w:val="00CE5372"/>
    <w:rsid w:val="00CE5C4C"/>
    <w:rsid w:val="00CE6363"/>
    <w:rsid w:val="00CE65F6"/>
    <w:rsid w:val="00CE6853"/>
    <w:rsid w:val="00CE6BF2"/>
    <w:rsid w:val="00CE6FEF"/>
    <w:rsid w:val="00CF0A11"/>
    <w:rsid w:val="00CF0A95"/>
    <w:rsid w:val="00CF14F6"/>
    <w:rsid w:val="00CF21CE"/>
    <w:rsid w:val="00CF297E"/>
    <w:rsid w:val="00CF3039"/>
    <w:rsid w:val="00CF3B84"/>
    <w:rsid w:val="00CF3F90"/>
    <w:rsid w:val="00CF50D7"/>
    <w:rsid w:val="00D01204"/>
    <w:rsid w:val="00D01B17"/>
    <w:rsid w:val="00D02BB1"/>
    <w:rsid w:val="00D03746"/>
    <w:rsid w:val="00D03A05"/>
    <w:rsid w:val="00D049CD"/>
    <w:rsid w:val="00D060B2"/>
    <w:rsid w:val="00D06B60"/>
    <w:rsid w:val="00D128AA"/>
    <w:rsid w:val="00D13696"/>
    <w:rsid w:val="00D13BAB"/>
    <w:rsid w:val="00D142E2"/>
    <w:rsid w:val="00D14CBB"/>
    <w:rsid w:val="00D15600"/>
    <w:rsid w:val="00D16B0C"/>
    <w:rsid w:val="00D210C8"/>
    <w:rsid w:val="00D22EA8"/>
    <w:rsid w:val="00D23469"/>
    <w:rsid w:val="00D25C0D"/>
    <w:rsid w:val="00D300E6"/>
    <w:rsid w:val="00D34B03"/>
    <w:rsid w:val="00D36C83"/>
    <w:rsid w:val="00D374C3"/>
    <w:rsid w:val="00D37BEE"/>
    <w:rsid w:val="00D435D1"/>
    <w:rsid w:val="00D4386C"/>
    <w:rsid w:val="00D442DC"/>
    <w:rsid w:val="00D45533"/>
    <w:rsid w:val="00D464B9"/>
    <w:rsid w:val="00D5032E"/>
    <w:rsid w:val="00D509BA"/>
    <w:rsid w:val="00D50E0F"/>
    <w:rsid w:val="00D510E5"/>
    <w:rsid w:val="00D516FB"/>
    <w:rsid w:val="00D51CCB"/>
    <w:rsid w:val="00D51F00"/>
    <w:rsid w:val="00D546EC"/>
    <w:rsid w:val="00D55BD7"/>
    <w:rsid w:val="00D56937"/>
    <w:rsid w:val="00D5736B"/>
    <w:rsid w:val="00D60579"/>
    <w:rsid w:val="00D6356F"/>
    <w:rsid w:val="00D64DD8"/>
    <w:rsid w:val="00D66482"/>
    <w:rsid w:val="00D67F29"/>
    <w:rsid w:val="00D7045C"/>
    <w:rsid w:val="00D7062A"/>
    <w:rsid w:val="00D71388"/>
    <w:rsid w:val="00D7224D"/>
    <w:rsid w:val="00D7376E"/>
    <w:rsid w:val="00D74E8D"/>
    <w:rsid w:val="00D75B16"/>
    <w:rsid w:val="00D807EB"/>
    <w:rsid w:val="00D80E72"/>
    <w:rsid w:val="00D81716"/>
    <w:rsid w:val="00D83903"/>
    <w:rsid w:val="00D83948"/>
    <w:rsid w:val="00D845C8"/>
    <w:rsid w:val="00D84748"/>
    <w:rsid w:val="00D85E67"/>
    <w:rsid w:val="00D863EB"/>
    <w:rsid w:val="00D866D5"/>
    <w:rsid w:val="00D8708F"/>
    <w:rsid w:val="00D9259D"/>
    <w:rsid w:val="00D92BE1"/>
    <w:rsid w:val="00D93291"/>
    <w:rsid w:val="00D9331E"/>
    <w:rsid w:val="00D94B8E"/>
    <w:rsid w:val="00D95022"/>
    <w:rsid w:val="00D95872"/>
    <w:rsid w:val="00D97076"/>
    <w:rsid w:val="00D973E2"/>
    <w:rsid w:val="00DA00B7"/>
    <w:rsid w:val="00DA4ADF"/>
    <w:rsid w:val="00DA5108"/>
    <w:rsid w:val="00DA6E67"/>
    <w:rsid w:val="00DA7289"/>
    <w:rsid w:val="00DB131E"/>
    <w:rsid w:val="00DB2EEC"/>
    <w:rsid w:val="00DB3969"/>
    <w:rsid w:val="00DB49DC"/>
    <w:rsid w:val="00DB5440"/>
    <w:rsid w:val="00DB6140"/>
    <w:rsid w:val="00DB7736"/>
    <w:rsid w:val="00DB77B5"/>
    <w:rsid w:val="00DB7E2E"/>
    <w:rsid w:val="00DC1C8F"/>
    <w:rsid w:val="00DC73DD"/>
    <w:rsid w:val="00DD2FAC"/>
    <w:rsid w:val="00DD566D"/>
    <w:rsid w:val="00DD5FBE"/>
    <w:rsid w:val="00DD6718"/>
    <w:rsid w:val="00DE0BEF"/>
    <w:rsid w:val="00DE212C"/>
    <w:rsid w:val="00DE2365"/>
    <w:rsid w:val="00DE2751"/>
    <w:rsid w:val="00DE3723"/>
    <w:rsid w:val="00DE419E"/>
    <w:rsid w:val="00DE5685"/>
    <w:rsid w:val="00DE7B23"/>
    <w:rsid w:val="00DF1768"/>
    <w:rsid w:val="00DF32D8"/>
    <w:rsid w:val="00DF3A38"/>
    <w:rsid w:val="00DF4744"/>
    <w:rsid w:val="00DF590D"/>
    <w:rsid w:val="00E01064"/>
    <w:rsid w:val="00E01173"/>
    <w:rsid w:val="00E01606"/>
    <w:rsid w:val="00E02A6F"/>
    <w:rsid w:val="00E04A2D"/>
    <w:rsid w:val="00E04ECF"/>
    <w:rsid w:val="00E107AB"/>
    <w:rsid w:val="00E15000"/>
    <w:rsid w:val="00E154DA"/>
    <w:rsid w:val="00E15B4D"/>
    <w:rsid w:val="00E162A3"/>
    <w:rsid w:val="00E16354"/>
    <w:rsid w:val="00E17178"/>
    <w:rsid w:val="00E175FD"/>
    <w:rsid w:val="00E17811"/>
    <w:rsid w:val="00E17DEE"/>
    <w:rsid w:val="00E21AF0"/>
    <w:rsid w:val="00E221F3"/>
    <w:rsid w:val="00E2225C"/>
    <w:rsid w:val="00E25594"/>
    <w:rsid w:val="00E31857"/>
    <w:rsid w:val="00E33A3D"/>
    <w:rsid w:val="00E36919"/>
    <w:rsid w:val="00E379AA"/>
    <w:rsid w:val="00E407A7"/>
    <w:rsid w:val="00E42F79"/>
    <w:rsid w:val="00E43421"/>
    <w:rsid w:val="00E43966"/>
    <w:rsid w:val="00E448F3"/>
    <w:rsid w:val="00E44959"/>
    <w:rsid w:val="00E45649"/>
    <w:rsid w:val="00E459F9"/>
    <w:rsid w:val="00E4668E"/>
    <w:rsid w:val="00E46ECD"/>
    <w:rsid w:val="00E50E36"/>
    <w:rsid w:val="00E510DD"/>
    <w:rsid w:val="00E51ACF"/>
    <w:rsid w:val="00E53C1B"/>
    <w:rsid w:val="00E54EA3"/>
    <w:rsid w:val="00E56633"/>
    <w:rsid w:val="00E56C75"/>
    <w:rsid w:val="00E57DDB"/>
    <w:rsid w:val="00E628FA"/>
    <w:rsid w:val="00E639F6"/>
    <w:rsid w:val="00E66E41"/>
    <w:rsid w:val="00E6744C"/>
    <w:rsid w:val="00E67BB6"/>
    <w:rsid w:val="00E70033"/>
    <w:rsid w:val="00E71F1A"/>
    <w:rsid w:val="00E73B2E"/>
    <w:rsid w:val="00E73C60"/>
    <w:rsid w:val="00E77568"/>
    <w:rsid w:val="00E83818"/>
    <w:rsid w:val="00E844D4"/>
    <w:rsid w:val="00E845F6"/>
    <w:rsid w:val="00E8748B"/>
    <w:rsid w:val="00E90375"/>
    <w:rsid w:val="00E905BD"/>
    <w:rsid w:val="00E91434"/>
    <w:rsid w:val="00E93609"/>
    <w:rsid w:val="00E93BAA"/>
    <w:rsid w:val="00E95D17"/>
    <w:rsid w:val="00E96C4D"/>
    <w:rsid w:val="00EA0C5E"/>
    <w:rsid w:val="00EA1E67"/>
    <w:rsid w:val="00EA38BB"/>
    <w:rsid w:val="00EA4D8E"/>
    <w:rsid w:val="00EA5C52"/>
    <w:rsid w:val="00EB538F"/>
    <w:rsid w:val="00EB6900"/>
    <w:rsid w:val="00EB6BD6"/>
    <w:rsid w:val="00EC0561"/>
    <w:rsid w:val="00EC340A"/>
    <w:rsid w:val="00EC3623"/>
    <w:rsid w:val="00EC6344"/>
    <w:rsid w:val="00EC78FE"/>
    <w:rsid w:val="00ED26A3"/>
    <w:rsid w:val="00ED3FC3"/>
    <w:rsid w:val="00ED4104"/>
    <w:rsid w:val="00ED6CC7"/>
    <w:rsid w:val="00EE104E"/>
    <w:rsid w:val="00EE1120"/>
    <w:rsid w:val="00EE1760"/>
    <w:rsid w:val="00EE2371"/>
    <w:rsid w:val="00EE6073"/>
    <w:rsid w:val="00EE6C0E"/>
    <w:rsid w:val="00EE7C5E"/>
    <w:rsid w:val="00EF0FF2"/>
    <w:rsid w:val="00EF17EA"/>
    <w:rsid w:val="00EF2923"/>
    <w:rsid w:val="00EF4C7D"/>
    <w:rsid w:val="00EF6068"/>
    <w:rsid w:val="00F01455"/>
    <w:rsid w:val="00F015A6"/>
    <w:rsid w:val="00F019C5"/>
    <w:rsid w:val="00F01F15"/>
    <w:rsid w:val="00F02876"/>
    <w:rsid w:val="00F02DB0"/>
    <w:rsid w:val="00F043BE"/>
    <w:rsid w:val="00F0660D"/>
    <w:rsid w:val="00F11B95"/>
    <w:rsid w:val="00F13F8E"/>
    <w:rsid w:val="00F147D0"/>
    <w:rsid w:val="00F15ABF"/>
    <w:rsid w:val="00F16910"/>
    <w:rsid w:val="00F17BA9"/>
    <w:rsid w:val="00F20533"/>
    <w:rsid w:val="00F216CF"/>
    <w:rsid w:val="00F219DA"/>
    <w:rsid w:val="00F23E6C"/>
    <w:rsid w:val="00F244BD"/>
    <w:rsid w:val="00F24C3E"/>
    <w:rsid w:val="00F2650F"/>
    <w:rsid w:val="00F267BB"/>
    <w:rsid w:val="00F27B1D"/>
    <w:rsid w:val="00F31D56"/>
    <w:rsid w:val="00F35792"/>
    <w:rsid w:val="00F35FEB"/>
    <w:rsid w:val="00F37C57"/>
    <w:rsid w:val="00F40BC6"/>
    <w:rsid w:val="00F41A91"/>
    <w:rsid w:val="00F42C55"/>
    <w:rsid w:val="00F43171"/>
    <w:rsid w:val="00F43391"/>
    <w:rsid w:val="00F50CBA"/>
    <w:rsid w:val="00F5162A"/>
    <w:rsid w:val="00F5192E"/>
    <w:rsid w:val="00F51CF1"/>
    <w:rsid w:val="00F533F0"/>
    <w:rsid w:val="00F53B0A"/>
    <w:rsid w:val="00F541A7"/>
    <w:rsid w:val="00F55426"/>
    <w:rsid w:val="00F57C83"/>
    <w:rsid w:val="00F600DA"/>
    <w:rsid w:val="00F60EA4"/>
    <w:rsid w:val="00F627E5"/>
    <w:rsid w:val="00F6419B"/>
    <w:rsid w:val="00F71F03"/>
    <w:rsid w:val="00F724D9"/>
    <w:rsid w:val="00F734D2"/>
    <w:rsid w:val="00F744AB"/>
    <w:rsid w:val="00F74EEB"/>
    <w:rsid w:val="00F75E05"/>
    <w:rsid w:val="00F75EB6"/>
    <w:rsid w:val="00F76CC2"/>
    <w:rsid w:val="00F778D8"/>
    <w:rsid w:val="00F82C41"/>
    <w:rsid w:val="00F83135"/>
    <w:rsid w:val="00F83C06"/>
    <w:rsid w:val="00F84422"/>
    <w:rsid w:val="00F84EF2"/>
    <w:rsid w:val="00F90E49"/>
    <w:rsid w:val="00F92527"/>
    <w:rsid w:val="00F92621"/>
    <w:rsid w:val="00F94FE9"/>
    <w:rsid w:val="00F954A9"/>
    <w:rsid w:val="00FA161C"/>
    <w:rsid w:val="00FA522D"/>
    <w:rsid w:val="00FA5E11"/>
    <w:rsid w:val="00FA7B37"/>
    <w:rsid w:val="00FB1122"/>
    <w:rsid w:val="00FB45C5"/>
    <w:rsid w:val="00FB47DA"/>
    <w:rsid w:val="00FB52CA"/>
    <w:rsid w:val="00FB6FE5"/>
    <w:rsid w:val="00FB7335"/>
    <w:rsid w:val="00FC12E1"/>
    <w:rsid w:val="00FC1B06"/>
    <w:rsid w:val="00FC4CE2"/>
    <w:rsid w:val="00FC7C8E"/>
    <w:rsid w:val="00FC7DE9"/>
    <w:rsid w:val="00FD18F1"/>
    <w:rsid w:val="00FD1BFB"/>
    <w:rsid w:val="00FD1EC7"/>
    <w:rsid w:val="00FD34AE"/>
    <w:rsid w:val="00FD3F3A"/>
    <w:rsid w:val="00FE100F"/>
    <w:rsid w:val="00FE2EF3"/>
    <w:rsid w:val="00FE4F7A"/>
    <w:rsid w:val="00FE573A"/>
    <w:rsid w:val="00FF14F7"/>
    <w:rsid w:val="00FF6804"/>
    <w:rsid w:val="00FF7A3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DA64A38"/>
  <w15:docId w15:val="{CB977420-EAA8-48F3-AFA6-19251B397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F41A91"/>
    <w:rPr>
      <w:rFonts w:ascii="Arial" w:hAnsi="Arial"/>
      <w:sz w:val="24"/>
      <w:szCs w:val="24"/>
      <w:lang w:val="en-GB"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F41A91"/>
    <w:rPr>
      <w:b/>
      <w:bCs/>
      <w:sz w:val="28"/>
      <w:u w:val="single"/>
      <w:lang w:val="de-DE"/>
    </w:rPr>
  </w:style>
  <w:style w:type="paragraph" w:styleId="Textkrper2">
    <w:name w:val="Body Text 2"/>
    <w:basedOn w:val="Standard"/>
    <w:link w:val="Textkrper2Zchn"/>
    <w:rsid w:val="00F41A91"/>
    <w:rPr>
      <w:b/>
      <w:bCs/>
      <w:lang w:val="de-DE"/>
    </w:rPr>
  </w:style>
  <w:style w:type="paragraph" w:styleId="Textkrper3">
    <w:name w:val="Body Text 3"/>
    <w:basedOn w:val="Standard"/>
    <w:rsid w:val="00F41A91"/>
    <w:pPr>
      <w:jc w:val="both"/>
    </w:pPr>
    <w:rPr>
      <w:lang w:val="de-DE"/>
    </w:rPr>
  </w:style>
  <w:style w:type="character" w:styleId="Hyperlink">
    <w:name w:val="Hyperlink"/>
    <w:rsid w:val="00F41A91"/>
    <w:rPr>
      <w:color w:val="0000FF"/>
      <w:u w:val="single"/>
    </w:rPr>
  </w:style>
  <w:style w:type="paragraph" w:styleId="Kopfzeile">
    <w:name w:val="header"/>
    <w:basedOn w:val="Standard"/>
    <w:rsid w:val="00F41A91"/>
    <w:pPr>
      <w:tabs>
        <w:tab w:val="center" w:pos="4153"/>
        <w:tab w:val="right" w:pos="8306"/>
      </w:tabs>
    </w:pPr>
  </w:style>
  <w:style w:type="paragraph" w:styleId="Fuzeile">
    <w:name w:val="footer"/>
    <w:basedOn w:val="Standard"/>
    <w:rsid w:val="00F41A91"/>
    <w:pPr>
      <w:tabs>
        <w:tab w:val="center" w:pos="4153"/>
        <w:tab w:val="right" w:pos="8306"/>
      </w:tabs>
    </w:pPr>
  </w:style>
  <w:style w:type="character" w:styleId="BesuchterLink">
    <w:name w:val="FollowedHyperlink"/>
    <w:rsid w:val="00F41A91"/>
    <w:rPr>
      <w:color w:val="800080"/>
      <w:u w:val="single"/>
    </w:rPr>
  </w:style>
  <w:style w:type="paragraph" w:styleId="Dokumentstruktur">
    <w:name w:val="Document Map"/>
    <w:basedOn w:val="Standard"/>
    <w:semiHidden/>
    <w:rsid w:val="00CE2979"/>
    <w:pPr>
      <w:shd w:val="clear" w:color="auto" w:fill="000080"/>
    </w:pPr>
    <w:rPr>
      <w:rFonts w:ascii="Tahoma" w:hAnsi="Tahoma" w:cs="Tahoma"/>
      <w:sz w:val="20"/>
      <w:szCs w:val="20"/>
    </w:rPr>
  </w:style>
  <w:style w:type="paragraph" w:styleId="Sprechblasentext">
    <w:name w:val="Balloon Text"/>
    <w:basedOn w:val="Standard"/>
    <w:semiHidden/>
    <w:rsid w:val="008D6E55"/>
    <w:rPr>
      <w:rFonts w:ascii="Tahoma" w:hAnsi="Tahoma" w:cs="Tahoma"/>
      <w:sz w:val="16"/>
      <w:szCs w:val="16"/>
    </w:rPr>
  </w:style>
  <w:style w:type="paragraph" w:customStyle="1" w:styleId="bodytext">
    <w:name w:val="bodytext"/>
    <w:basedOn w:val="Standard"/>
    <w:rsid w:val="004A0DFB"/>
    <w:rPr>
      <w:rFonts w:cs="Arial"/>
      <w:color w:val="14244B"/>
      <w:sz w:val="17"/>
      <w:szCs w:val="17"/>
      <w:lang w:val="de-DE" w:eastAsia="de-DE"/>
    </w:rPr>
  </w:style>
  <w:style w:type="character" w:styleId="Fett">
    <w:name w:val="Strong"/>
    <w:qFormat/>
    <w:rsid w:val="004A0DFB"/>
    <w:rPr>
      <w:b/>
      <w:bCs/>
    </w:rPr>
  </w:style>
  <w:style w:type="character" w:styleId="Kommentarzeichen">
    <w:name w:val="annotation reference"/>
    <w:basedOn w:val="Absatz-Standardschriftart"/>
    <w:rsid w:val="0016126C"/>
    <w:rPr>
      <w:sz w:val="16"/>
      <w:szCs w:val="16"/>
    </w:rPr>
  </w:style>
  <w:style w:type="paragraph" w:styleId="Kommentartext">
    <w:name w:val="annotation text"/>
    <w:basedOn w:val="Standard"/>
    <w:link w:val="KommentartextZchn"/>
    <w:rsid w:val="0016126C"/>
    <w:rPr>
      <w:sz w:val="20"/>
      <w:szCs w:val="20"/>
    </w:rPr>
  </w:style>
  <w:style w:type="character" w:customStyle="1" w:styleId="KommentartextZchn">
    <w:name w:val="Kommentartext Zchn"/>
    <w:basedOn w:val="Absatz-Standardschriftart"/>
    <w:link w:val="Kommentartext"/>
    <w:rsid w:val="0016126C"/>
    <w:rPr>
      <w:rFonts w:ascii="Arial" w:hAnsi="Arial"/>
      <w:lang w:val="en-GB" w:eastAsia="en-US"/>
    </w:rPr>
  </w:style>
  <w:style w:type="paragraph" w:styleId="Kommentarthema">
    <w:name w:val="annotation subject"/>
    <w:basedOn w:val="Kommentartext"/>
    <w:next w:val="Kommentartext"/>
    <w:link w:val="KommentarthemaZchn"/>
    <w:rsid w:val="0016126C"/>
    <w:rPr>
      <w:b/>
      <w:bCs/>
    </w:rPr>
  </w:style>
  <w:style w:type="character" w:customStyle="1" w:styleId="KommentarthemaZchn">
    <w:name w:val="Kommentarthema Zchn"/>
    <w:basedOn w:val="KommentartextZchn"/>
    <w:link w:val="Kommentarthema"/>
    <w:rsid w:val="0016126C"/>
    <w:rPr>
      <w:rFonts w:ascii="Arial" w:hAnsi="Arial"/>
      <w:b/>
      <w:bCs/>
      <w:lang w:val="en-GB" w:eastAsia="en-US"/>
    </w:rPr>
  </w:style>
  <w:style w:type="paragraph" w:styleId="berarbeitung">
    <w:name w:val="Revision"/>
    <w:hidden/>
    <w:uiPriority w:val="99"/>
    <w:semiHidden/>
    <w:rsid w:val="00242B3C"/>
    <w:rPr>
      <w:rFonts w:ascii="Arial" w:hAnsi="Arial"/>
      <w:sz w:val="24"/>
      <w:szCs w:val="24"/>
      <w:lang w:val="en-GB" w:eastAsia="en-US"/>
    </w:rPr>
  </w:style>
  <w:style w:type="character" w:customStyle="1" w:styleId="UnresolvedMention1">
    <w:name w:val="Unresolved Mention1"/>
    <w:basedOn w:val="Absatz-Standardschriftart"/>
    <w:uiPriority w:val="99"/>
    <w:semiHidden/>
    <w:unhideWhenUsed/>
    <w:rsid w:val="003D3712"/>
    <w:rPr>
      <w:color w:val="605E5C"/>
      <w:shd w:val="clear" w:color="auto" w:fill="E1DFDD"/>
    </w:rPr>
  </w:style>
  <w:style w:type="paragraph" w:styleId="StandardWeb">
    <w:name w:val="Normal (Web)"/>
    <w:basedOn w:val="Standard"/>
    <w:semiHidden/>
    <w:unhideWhenUsed/>
    <w:rsid w:val="00B60228"/>
    <w:rPr>
      <w:rFonts w:ascii="Times New Roman" w:hAnsi="Times New Roman"/>
    </w:rPr>
  </w:style>
  <w:style w:type="character" w:customStyle="1" w:styleId="Textkrper2Zchn">
    <w:name w:val="Textkörper 2 Zchn"/>
    <w:basedOn w:val="Absatz-Standardschriftart"/>
    <w:link w:val="Textkrper2"/>
    <w:rsid w:val="00C17794"/>
    <w:rPr>
      <w:rFonts w:ascii="Arial" w:hAnsi="Arial"/>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66115">
      <w:bodyDiv w:val="1"/>
      <w:marLeft w:val="0"/>
      <w:marRight w:val="0"/>
      <w:marTop w:val="0"/>
      <w:marBottom w:val="0"/>
      <w:divBdr>
        <w:top w:val="none" w:sz="0" w:space="0" w:color="auto"/>
        <w:left w:val="none" w:sz="0" w:space="0" w:color="auto"/>
        <w:bottom w:val="none" w:sz="0" w:space="0" w:color="auto"/>
        <w:right w:val="none" w:sz="0" w:space="0" w:color="auto"/>
      </w:divBdr>
    </w:div>
    <w:div w:id="303119110">
      <w:bodyDiv w:val="1"/>
      <w:marLeft w:val="0"/>
      <w:marRight w:val="0"/>
      <w:marTop w:val="0"/>
      <w:marBottom w:val="0"/>
      <w:divBdr>
        <w:top w:val="none" w:sz="0" w:space="0" w:color="auto"/>
        <w:left w:val="none" w:sz="0" w:space="0" w:color="auto"/>
        <w:bottom w:val="none" w:sz="0" w:space="0" w:color="auto"/>
        <w:right w:val="none" w:sz="0" w:space="0" w:color="auto"/>
      </w:divBdr>
    </w:div>
    <w:div w:id="902522404">
      <w:bodyDiv w:val="1"/>
      <w:marLeft w:val="0"/>
      <w:marRight w:val="0"/>
      <w:marTop w:val="0"/>
      <w:marBottom w:val="0"/>
      <w:divBdr>
        <w:top w:val="none" w:sz="0" w:space="0" w:color="auto"/>
        <w:left w:val="none" w:sz="0" w:space="0" w:color="auto"/>
        <w:bottom w:val="none" w:sz="0" w:space="0" w:color="auto"/>
        <w:right w:val="none" w:sz="0" w:space="0" w:color="auto"/>
      </w:divBdr>
    </w:div>
    <w:div w:id="912399939">
      <w:bodyDiv w:val="1"/>
      <w:marLeft w:val="0"/>
      <w:marRight w:val="0"/>
      <w:marTop w:val="0"/>
      <w:marBottom w:val="0"/>
      <w:divBdr>
        <w:top w:val="none" w:sz="0" w:space="0" w:color="auto"/>
        <w:left w:val="none" w:sz="0" w:space="0" w:color="auto"/>
        <w:bottom w:val="none" w:sz="0" w:space="0" w:color="auto"/>
        <w:right w:val="none" w:sz="0" w:space="0" w:color="auto"/>
      </w:divBdr>
    </w:div>
    <w:div w:id="1060009507">
      <w:bodyDiv w:val="1"/>
      <w:marLeft w:val="0"/>
      <w:marRight w:val="0"/>
      <w:marTop w:val="0"/>
      <w:marBottom w:val="0"/>
      <w:divBdr>
        <w:top w:val="none" w:sz="0" w:space="0" w:color="auto"/>
        <w:left w:val="none" w:sz="0" w:space="0" w:color="auto"/>
        <w:bottom w:val="none" w:sz="0" w:space="0" w:color="auto"/>
        <w:right w:val="none" w:sz="0" w:space="0" w:color="auto"/>
      </w:divBdr>
    </w:div>
    <w:div w:id="1131292753">
      <w:bodyDiv w:val="1"/>
      <w:marLeft w:val="0"/>
      <w:marRight w:val="0"/>
      <w:marTop w:val="0"/>
      <w:marBottom w:val="0"/>
      <w:divBdr>
        <w:top w:val="none" w:sz="0" w:space="0" w:color="auto"/>
        <w:left w:val="none" w:sz="0" w:space="0" w:color="auto"/>
        <w:bottom w:val="none" w:sz="0" w:space="0" w:color="auto"/>
        <w:right w:val="none" w:sz="0" w:space="0" w:color="auto"/>
      </w:divBdr>
    </w:div>
    <w:div w:id="1549879245">
      <w:bodyDiv w:val="1"/>
      <w:marLeft w:val="0"/>
      <w:marRight w:val="0"/>
      <w:marTop w:val="0"/>
      <w:marBottom w:val="0"/>
      <w:divBdr>
        <w:top w:val="none" w:sz="0" w:space="0" w:color="auto"/>
        <w:left w:val="none" w:sz="0" w:space="0" w:color="auto"/>
        <w:bottom w:val="none" w:sz="0" w:space="0" w:color="auto"/>
        <w:right w:val="none" w:sz="0" w:space="0" w:color="auto"/>
      </w:divBdr>
      <w:divsChild>
        <w:div w:id="510219803">
          <w:marLeft w:val="360"/>
          <w:marRight w:val="0"/>
          <w:marTop w:val="200"/>
          <w:marBottom w:val="0"/>
          <w:divBdr>
            <w:top w:val="none" w:sz="0" w:space="0" w:color="auto"/>
            <w:left w:val="none" w:sz="0" w:space="0" w:color="auto"/>
            <w:bottom w:val="none" w:sz="0" w:space="0" w:color="auto"/>
            <w:right w:val="none" w:sz="0" w:space="0" w:color="auto"/>
          </w:divBdr>
        </w:div>
      </w:divsChild>
    </w:div>
    <w:div w:id="1812748277">
      <w:bodyDiv w:val="1"/>
      <w:marLeft w:val="0"/>
      <w:marRight w:val="0"/>
      <w:marTop w:val="0"/>
      <w:marBottom w:val="0"/>
      <w:divBdr>
        <w:top w:val="none" w:sz="0" w:space="0" w:color="auto"/>
        <w:left w:val="none" w:sz="0" w:space="0" w:color="auto"/>
        <w:bottom w:val="none" w:sz="0" w:space="0" w:color="auto"/>
        <w:right w:val="none" w:sz="0" w:space="0" w:color="auto"/>
      </w:divBdr>
    </w:div>
    <w:div w:id="1869298158">
      <w:bodyDiv w:val="1"/>
      <w:marLeft w:val="0"/>
      <w:marRight w:val="0"/>
      <w:marTop w:val="0"/>
      <w:marBottom w:val="0"/>
      <w:divBdr>
        <w:top w:val="none" w:sz="0" w:space="0" w:color="auto"/>
        <w:left w:val="none" w:sz="0" w:space="0" w:color="auto"/>
        <w:bottom w:val="none" w:sz="0" w:space="0" w:color="auto"/>
        <w:right w:val="none" w:sz="0" w:space="0" w:color="auto"/>
      </w:divBdr>
    </w:div>
    <w:div w:id="214106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bdi.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falke@fbdi.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A4B235-3F6D-45BC-A3AF-A6F4C4915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677</Words>
  <Characters>4748</Characters>
  <Application>Microsoft Office Word</Application>
  <DocSecurity>0</DocSecurity>
  <Lines>68</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Deutsche Bauelementedistributoren heben eigenen Fachverband aus der Taufe</vt:lpstr>
      <vt:lpstr>Deutsche Bauelementedistributoren heben eigenen Fachverband aus der Taufe</vt:lpstr>
    </vt:vector>
  </TitlesOfParts>
  <Company>EBV Elektronik GmbH &amp; Co.KG</Company>
  <LinksUpToDate>false</LinksUpToDate>
  <CharactersWithSpaces>5408</CharactersWithSpaces>
  <SharedDoc>false</SharedDoc>
  <HLinks>
    <vt:vector size="24" baseType="variant">
      <vt:variant>
        <vt:i4>6422591</vt:i4>
      </vt:variant>
      <vt:variant>
        <vt:i4>0</vt:i4>
      </vt:variant>
      <vt:variant>
        <vt:i4>0</vt:i4>
      </vt:variant>
      <vt:variant>
        <vt:i4>5</vt:i4>
      </vt:variant>
      <vt:variant>
        <vt:lpwstr>http://www.fbdi.de/</vt:lpwstr>
      </vt:variant>
      <vt:variant>
        <vt:lpwstr/>
      </vt:variant>
      <vt:variant>
        <vt:i4>3145807</vt:i4>
      </vt:variant>
      <vt:variant>
        <vt:i4>6</vt:i4>
      </vt:variant>
      <vt:variant>
        <vt:i4>0</vt:i4>
      </vt:variant>
      <vt:variant>
        <vt:i4>5</vt:i4>
      </vt:variant>
      <vt:variant>
        <vt:lpwstr>mailto:w.ziehfuss@fbdi.de</vt:lpwstr>
      </vt:variant>
      <vt:variant>
        <vt:lpwstr/>
      </vt:variant>
      <vt:variant>
        <vt:i4>6422640</vt:i4>
      </vt:variant>
      <vt:variant>
        <vt:i4>3</vt:i4>
      </vt:variant>
      <vt:variant>
        <vt:i4>0</vt:i4>
      </vt:variant>
      <vt:variant>
        <vt:i4>5</vt:i4>
      </vt:variant>
      <vt:variant>
        <vt:lpwstr>mailto:</vt:lpwstr>
      </vt:variant>
      <vt:variant>
        <vt:lpwstr/>
      </vt:variant>
      <vt:variant>
        <vt:i4>1769574</vt:i4>
      </vt:variant>
      <vt:variant>
        <vt:i4>0</vt:i4>
      </vt:variant>
      <vt:variant>
        <vt:i4>0</vt:i4>
      </vt:variant>
      <vt:variant>
        <vt:i4>5</vt:i4>
      </vt:variant>
      <vt:variant>
        <vt:lpwstr>mailto:georg.steinberger@avnet.eu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Deutsche Bauelementedistributoren heben eigenen Fachverband aus der Taufe</dc:title>
  <dc:creator>SteinbergerG</dc:creator>
  <cp:lastModifiedBy>beate lorenzoni</cp:lastModifiedBy>
  <cp:revision>5</cp:revision>
  <cp:lastPrinted>2024-08-05T18:21:00Z</cp:lastPrinted>
  <dcterms:created xsi:type="dcterms:W3CDTF">2025-05-19T08:53:00Z</dcterms:created>
  <dcterms:modified xsi:type="dcterms:W3CDTF">2025-05-19T14:45:00Z</dcterms:modified>
</cp:coreProperties>
</file>